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D1D6" w14:textId="236C523B" w:rsidR="007B3A75" w:rsidRPr="00C01361" w:rsidRDefault="007B3A75" w:rsidP="00CC6C63">
      <w:pPr>
        <w:spacing w:after="240" w:line="300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C01361">
        <w:rPr>
          <w:rFonts w:ascii="Times New Roman" w:eastAsia="Arial" w:hAnsi="Times New Roman"/>
          <w:b/>
          <w:sz w:val="28"/>
          <w:szCs w:val="28"/>
        </w:rPr>
        <w:t xml:space="preserve">Organisation des Nations Unies </w:t>
      </w:r>
    </w:p>
    <w:p w14:paraId="05F3CB2C" w14:textId="4118A66E" w:rsidR="00321418" w:rsidRPr="00C01361" w:rsidRDefault="00321418" w:rsidP="00CC6C63">
      <w:pPr>
        <w:spacing w:after="240" w:line="300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C01361">
        <w:rPr>
          <w:rFonts w:ascii="Times New Roman" w:eastAsia="Arial" w:hAnsi="Times New Roman"/>
          <w:b/>
          <w:sz w:val="28"/>
          <w:szCs w:val="28"/>
        </w:rPr>
        <w:t>Juges du système de justice interne de l</w:t>
      </w:r>
      <w:r w:rsidR="00E5192A" w:rsidRPr="00C01361">
        <w:rPr>
          <w:rFonts w:ascii="Times New Roman" w:eastAsia="Arial" w:hAnsi="Times New Roman"/>
          <w:b/>
          <w:sz w:val="28"/>
          <w:szCs w:val="28"/>
        </w:rPr>
        <w:t>’</w:t>
      </w:r>
      <w:r w:rsidRPr="00C01361">
        <w:rPr>
          <w:rFonts w:ascii="Times New Roman" w:eastAsia="Arial" w:hAnsi="Times New Roman"/>
          <w:b/>
          <w:sz w:val="28"/>
          <w:szCs w:val="28"/>
        </w:rPr>
        <w:t>ONU</w:t>
      </w:r>
    </w:p>
    <w:p w14:paraId="74C614F2" w14:textId="7984B3B1" w:rsidR="00BA5B05" w:rsidRPr="00C01361" w:rsidRDefault="00321418" w:rsidP="00CC6C63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Organisation des Nations Unies recherche des juges pour connaître des différends liés au travail dans le cadre de son système de justice interne. </w:t>
      </w:r>
    </w:p>
    <w:p w14:paraId="6E1E906E" w14:textId="026BDC06" w:rsidR="00E13E83" w:rsidRPr="00C01361" w:rsidRDefault="00321418" w:rsidP="00CC6C63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Le système </w:t>
      </w:r>
      <w:r w:rsidR="00A64024" w:rsidRPr="00C01361">
        <w:rPr>
          <w:rFonts w:ascii="Times New Roman" w:eastAsia="Arial" w:hAnsi="Times New Roman"/>
          <w:sz w:val="24"/>
          <w:szCs w:val="24"/>
        </w:rPr>
        <w:t>de justice interne se compose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une juridiction de première instance, le Tribunal du contentieux administratif des Nations Unies, et </w:t>
      </w:r>
      <w:r w:rsidR="00A64024" w:rsidRPr="00C01361">
        <w:rPr>
          <w:rFonts w:ascii="Times New Roman" w:eastAsia="Arial" w:hAnsi="Times New Roman"/>
          <w:sz w:val="24"/>
          <w:szCs w:val="24"/>
        </w:rPr>
        <w:t>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juridiction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appel, le Tribunal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appel des Nations Unies. </w:t>
      </w:r>
    </w:p>
    <w:p w14:paraId="2597CA5E" w14:textId="04E3C47C" w:rsidR="00A24D51" w:rsidRPr="00C01361" w:rsidRDefault="00321418" w:rsidP="00A24D51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 Tribunal du contentieux administratif siège à New York, Genève et Nairobi</w:t>
      </w:r>
      <w:r w:rsidR="00A64024" w:rsidRPr="00C01361">
        <w:rPr>
          <w:rFonts w:ascii="Times New Roman" w:eastAsia="Arial" w:hAnsi="Times New Roman"/>
          <w:sz w:val="24"/>
          <w:szCs w:val="24"/>
        </w:rPr>
        <w:t>.</w:t>
      </w:r>
      <w:r w:rsidRPr="00C01361">
        <w:rPr>
          <w:rFonts w:ascii="Times New Roman" w:eastAsia="Arial" w:hAnsi="Times New Roman"/>
          <w:sz w:val="24"/>
          <w:szCs w:val="24"/>
        </w:rPr>
        <w:t xml:space="preserve"> </w:t>
      </w:r>
      <w:r w:rsidR="00A64024" w:rsidRPr="00C01361">
        <w:rPr>
          <w:rFonts w:ascii="Times New Roman" w:eastAsia="Arial" w:hAnsi="Times New Roman"/>
          <w:sz w:val="24"/>
          <w:szCs w:val="24"/>
        </w:rPr>
        <w:t>Il</w:t>
      </w:r>
      <w:r w:rsidRPr="00C01361">
        <w:rPr>
          <w:rFonts w:ascii="Times New Roman" w:eastAsia="Arial" w:hAnsi="Times New Roman"/>
          <w:sz w:val="24"/>
          <w:szCs w:val="24"/>
        </w:rPr>
        <w:t xml:space="preserve"> compte trois juges à temps complet et six juges à mi-temps. Les juges à temps complet et les juges à mi-temps sont nommés pour un mandat non renouvelable de sept ans. </w:t>
      </w:r>
    </w:p>
    <w:p w14:paraId="4B3B3C1C" w14:textId="60CE0BEA" w:rsidR="00A24D51" w:rsidRPr="00C01361" w:rsidRDefault="00321418" w:rsidP="00CC6C63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 Tribunal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appel compte sept juges, également nommés pour un mandat non renouvelable de sept ans, et son siège est à New York.</w:t>
      </w:r>
      <w:r w:rsidR="00E5192A" w:rsidRPr="00C01361">
        <w:rPr>
          <w:rFonts w:ascii="Times New Roman" w:eastAsia="Arial" w:hAnsi="Times New Roman"/>
          <w:sz w:val="24"/>
          <w:szCs w:val="24"/>
        </w:rPr>
        <w:t xml:space="preserve"> </w:t>
      </w:r>
    </w:p>
    <w:p w14:paraId="043763CE" w14:textId="774571A2" w:rsidR="00DC7C44" w:rsidRPr="00C01361" w:rsidRDefault="00B8523C" w:rsidP="00DC7C44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Organisation entame actuellement un processus de sélection pour pourvoir quatre postes de juge à mi-temps au Tribunal du contentieux administratif des Nations Unies. </w:t>
      </w:r>
    </w:p>
    <w:p w14:paraId="50696180" w14:textId="09FA6C15" w:rsidR="00B8523C" w:rsidRPr="00C01361" w:rsidRDefault="00DC7C44" w:rsidP="00E5192A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bookmarkStart w:id="0" w:name="_Hlk535245594"/>
      <w:r w:rsidRPr="00C01361">
        <w:rPr>
          <w:rFonts w:ascii="Times New Roman" w:eastAsia="Arial" w:hAnsi="Times New Roman"/>
          <w:sz w:val="24"/>
          <w:szCs w:val="24"/>
        </w:rPr>
        <w:t>Les juges à mi-temps travaillent jusqu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à six mois par année civile à New York, Genève ou Nairobi. Il se peut que le Tribunal ne fasse pas appel aux juges à mi-temps ou </w:t>
      </w:r>
      <w:r w:rsidR="00A64024" w:rsidRPr="00C01361">
        <w:rPr>
          <w:rFonts w:ascii="Times New Roman" w:eastAsia="Arial" w:hAnsi="Times New Roman"/>
          <w:sz w:val="24"/>
          <w:szCs w:val="24"/>
        </w:rPr>
        <w:t xml:space="preserve">leur </w:t>
      </w:r>
      <w:r w:rsidRPr="00C01361">
        <w:rPr>
          <w:rFonts w:ascii="Times New Roman" w:eastAsia="Arial" w:hAnsi="Times New Roman"/>
          <w:sz w:val="24"/>
          <w:szCs w:val="24"/>
        </w:rPr>
        <w:t>fasse appel moins de six mois en tout durant une année donnée si sa charge de travail ne justifie pas de les solliciter davantage. Le Président du Tribunal décide s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il y a lieu de faire appel à un juge à mi-temps et où, et notamment s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il convient de recourir au télétravail. </w:t>
      </w:r>
    </w:p>
    <w:bookmarkEnd w:id="0"/>
    <w:p w14:paraId="75CE578B" w14:textId="723955F0" w:rsidR="00E13E83" w:rsidRPr="00C01361" w:rsidRDefault="00A64024" w:rsidP="00CC6C63">
      <w:pPr>
        <w:spacing w:after="240" w:line="3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C01361">
        <w:rPr>
          <w:rFonts w:ascii="Times New Roman" w:eastAsia="Arial" w:hAnsi="Times New Roman"/>
          <w:b/>
          <w:bCs/>
          <w:sz w:val="24"/>
          <w:szCs w:val="24"/>
        </w:rPr>
        <w:t>Qualités</w:t>
      </w:r>
      <w:r w:rsidR="00E13E83" w:rsidRPr="00C01361">
        <w:rPr>
          <w:rFonts w:ascii="Times New Roman" w:eastAsia="Arial" w:hAnsi="Times New Roman"/>
          <w:b/>
          <w:bCs/>
          <w:sz w:val="24"/>
          <w:szCs w:val="24"/>
        </w:rPr>
        <w:t xml:space="preserve"> exigées des juges du Tribunal du contentieux administratif</w:t>
      </w:r>
    </w:p>
    <w:p w14:paraId="29951074" w14:textId="35C56F38" w:rsidR="000032C7" w:rsidRPr="00C01361" w:rsidRDefault="000B054A" w:rsidP="00D32162">
      <w:pPr>
        <w:numPr>
          <w:ilvl w:val="0"/>
          <w:numId w:val="5"/>
        </w:num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Tous les candidats doivent être impartiaux et jouir de la plus haute considération morale. </w:t>
      </w:r>
    </w:p>
    <w:p w14:paraId="39B9BCB0" w14:textId="073606EB" w:rsidR="00E13E83" w:rsidRPr="00C01361" w:rsidRDefault="00D32162" w:rsidP="00D32162">
      <w:pPr>
        <w:numPr>
          <w:ilvl w:val="0"/>
          <w:numId w:val="5"/>
        </w:num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candidats doivent justifier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au moins 10 années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expérience judiciaire (en tant que juge ou</w:t>
      </w:r>
      <w:r w:rsidR="00A64024" w:rsidRPr="00C01361">
        <w:rPr>
          <w:rFonts w:ascii="Times New Roman" w:eastAsia="Arial" w:hAnsi="Times New Roman"/>
          <w:sz w:val="24"/>
          <w:szCs w:val="24"/>
        </w:rPr>
        <w:t xml:space="preserve"> </w:t>
      </w:r>
      <w:r w:rsidRPr="00C01361">
        <w:rPr>
          <w:rFonts w:ascii="Times New Roman" w:eastAsia="Arial" w:hAnsi="Times New Roman"/>
          <w:sz w:val="24"/>
          <w:szCs w:val="24"/>
        </w:rPr>
        <w:t xml:space="preserve">à un poste équivalent) en droit administratif ou dans une discipline connexe (droit du travail, droit de la fonction publique, litiges civils ...) dans une ou plusieurs juridictions nationales. </w:t>
      </w:r>
    </w:p>
    <w:p w14:paraId="25888F72" w14:textId="10F230DE" w:rsidR="00BA3AFC" w:rsidRPr="00C01361" w:rsidRDefault="0009569D" w:rsidP="00BA3AFC">
      <w:pPr>
        <w:numPr>
          <w:ilvl w:val="0"/>
          <w:numId w:val="5"/>
        </w:num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anglais et le français sont les langues de travail de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Organisation des Nations Unies. Tous les candidats doivent pouvoir s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exprimer couramment en anglais ou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oral et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écrit, </w:t>
      </w:r>
      <w:r w:rsidR="00A64024" w:rsidRPr="00C01361">
        <w:rPr>
          <w:rFonts w:ascii="Times New Roman" w:eastAsia="Arial" w:hAnsi="Times New Roman"/>
          <w:sz w:val="24"/>
          <w:szCs w:val="24"/>
        </w:rPr>
        <w:t>de manière à</w:t>
      </w:r>
      <w:r w:rsidRPr="00C01361">
        <w:rPr>
          <w:rFonts w:ascii="Times New Roman" w:eastAsia="Arial" w:hAnsi="Times New Roman"/>
          <w:sz w:val="24"/>
          <w:szCs w:val="24"/>
        </w:rPr>
        <w:t xml:space="preserve"> pouvoir instruire des affaires et rédiger des décisions dans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ou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autre de ces deux langues.</w:t>
      </w:r>
    </w:p>
    <w:p w14:paraId="02F3C449" w14:textId="397721EF" w:rsidR="00BA3AFC" w:rsidRPr="00C01361" w:rsidRDefault="00BA3AFC" w:rsidP="00BA3AFC">
      <w:pPr>
        <w:spacing w:after="240" w:line="300" w:lineRule="exact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Sont inadmissibles les juges actuels et anciens du Tribunal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appel.</w:t>
      </w:r>
    </w:p>
    <w:p w14:paraId="079C4AF4" w14:textId="4D2AF2DE" w:rsidR="00E13E83" w:rsidRPr="00C01361" w:rsidRDefault="00321418" w:rsidP="00E5192A">
      <w:pPr>
        <w:keepNext/>
        <w:keepLines/>
        <w:spacing w:after="240" w:line="300" w:lineRule="exact"/>
        <w:jc w:val="both"/>
        <w:rPr>
          <w:rFonts w:ascii="Times New Roman" w:eastAsia="Arial" w:hAnsi="Times New Roman"/>
          <w:b/>
          <w:sz w:val="24"/>
          <w:szCs w:val="24"/>
        </w:rPr>
      </w:pPr>
      <w:r w:rsidRPr="00C01361">
        <w:rPr>
          <w:rFonts w:ascii="Times New Roman" w:eastAsia="Arial" w:hAnsi="Times New Roman"/>
          <w:b/>
          <w:sz w:val="24"/>
          <w:szCs w:val="24"/>
        </w:rPr>
        <w:lastRenderedPageBreak/>
        <w:t>Candidatures</w:t>
      </w:r>
    </w:p>
    <w:p w14:paraId="11F430FC" w14:textId="47F6F133" w:rsidR="00E13E83" w:rsidRPr="00C01361" w:rsidRDefault="00321418" w:rsidP="00F36D8B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candidats intéressés sont invités à postuler en remplissant le formulaire de candidature en anglais ou en français. Le formulaire est disponible en anglais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7" w:history="1">
        <w:r w:rsidR="00A542E1" w:rsidRPr="00016C09">
          <w:rPr>
            <w:rStyle w:val="Hyperlink"/>
            <w:rFonts w:ascii="Times New Roman" w:eastAsia="Arial" w:hAnsi="Times New Roman"/>
            <w:sz w:val="24"/>
            <w:szCs w:val="24"/>
          </w:rPr>
          <w:t>http://www.un.org/en/internaljustice/overview/judicial-vacancies.shtml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 et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8" w:history="1">
        <w:r w:rsidR="00A542E1">
          <w:rPr>
            <w:rStyle w:val="Hyperlink"/>
            <w:rFonts w:ascii="Times New Roman" w:eastAsia="Arial" w:hAnsi="Times New Roman"/>
            <w:sz w:val="24"/>
            <w:szCs w:val="24"/>
          </w:rPr>
          <w:t>http://www.un.org/fr/internaljustice/overview/judicial-vacancies.shtml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. </w:t>
      </w:r>
    </w:p>
    <w:p w14:paraId="21367FB9" w14:textId="3404D845" w:rsidR="007822DE" w:rsidRPr="00C01361" w:rsidRDefault="007822DE" w:rsidP="00F36D8B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Les candidats enverront le formulaire rempli au plus tard le </w:t>
      </w:r>
      <w:r w:rsidR="00061F63">
        <w:rPr>
          <w:rFonts w:ascii="Times New Roman" w:eastAsia="Arial" w:hAnsi="Times New Roman"/>
          <w:b/>
          <w:bCs/>
          <w:sz w:val="24"/>
          <w:szCs w:val="24"/>
        </w:rPr>
        <w:t>12 avril</w:t>
      </w:r>
      <w:bookmarkStart w:id="1" w:name="_GoBack"/>
      <w:bookmarkEnd w:id="1"/>
      <w:r w:rsidRPr="00C01361">
        <w:rPr>
          <w:rFonts w:ascii="Times New Roman" w:eastAsia="Arial" w:hAnsi="Times New Roman"/>
          <w:b/>
          <w:bCs/>
          <w:sz w:val="24"/>
          <w:szCs w:val="24"/>
        </w:rPr>
        <w:t xml:space="preserve"> 2019</w:t>
      </w:r>
      <w:r w:rsidRPr="00C01361">
        <w:rPr>
          <w:rFonts w:ascii="Times New Roman" w:eastAsia="Arial" w:hAnsi="Times New Roman"/>
          <w:sz w:val="24"/>
          <w:szCs w:val="24"/>
        </w:rPr>
        <w:t xml:space="preserve"> à 11 h 59 (heure de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est des États-Unis), par courrier électronique,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9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internaljusticecouncil-application@un.org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. </w:t>
      </w:r>
    </w:p>
    <w:p w14:paraId="2AEE9A94" w14:textId="04DD02C5" w:rsidR="000B054A" w:rsidRPr="00C01361" w:rsidRDefault="000B054A" w:rsidP="00CC6C63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candidats qui ne satisfont pas aux exigences ci-dessus ou ne présentent pas leur candidature au moyen du formulaire prévu ne seront pas pris en considération. Le formulaire doit être rempli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ordinateur (les formulaires remplis à la main ne seront pas acceptés). </w:t>
      </w:r>
    </w:p>
    <w:p w14:paraId="67D77BB1" w14:textId="3612B33B" w:rsidR="0053718E" w:rsidRPr="00C01361" w:rsidRDefault="0053718E" w:rsidP="00CC6C63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Les personnes citées comme référence par les candidats dont la sélection est sérieusement envisagée seront contactées afin de vérifier les informations fournies dans le dossier de candidature. </w:t>
      </w:r>
      <w:r w:rsidR="00A64024" w:rsidRPr="00C01361">
        <w:rPr>
          <w:rFonts w:ascii="Times New Roman" w:eastAsia="Arial" w:hAnsi="Times New Roman"/>
          <w:sz w:val="24"/>
          <w:szCs w:val="24"/>
        </w:rPr>
        <w:t>C</w:t>
      </w:r>
      <w:r w:rsidRPr="00C01361">
        <w:rPr>
          <w:rFonts w:ascii="Times New Roman" w:eastAsia="Arial" w:hAnsi="Times New Roman"/>
          <w:sz w:val="24"/>
          <w:szCs w:val="24"/>
        </w:rPr>
        <w:t xml:space="preserve">es candidats seront </w:t>
      </w:r>
      <w:r w:rsidR="00A64024" w:rsidRPr="00C01361">
        <w:rPr>
          <w:rFonts w:ascii="Times New Roman" w:eastAsia="Arial" w:hAnsi="Times New Roman"/>
          <w:sz w:val="24"/>
          <w:szCs w:val="24"/>
        </w:rPr>
        <w:t>ensuite</w:t>
      </w:r>
      <w:r w:rsidRPr="00C01361">
        <w:rPr>
          <w:rFonts w:ascii="Times New Roman" w:eastAsia="Arial" w:hAnsi="Times New Roman"/>
          <w:sz w:val="24"/>
          <w:szCs w:val="24"/>
        </w:rPr>
        <w:t xml:space="preserve"> invités à une évaluation écrite ou autre et à une entrevue avec le Conseil de justice interne, organe créé par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Assemblée générale.</w:t>
      </w:r>
    </w:p>
    <w:p w14:paraId="5F4C8CAC" w14:textId="7A78C292" w:rsidR="0057355D" w:rsidRPr="00C01361" w:rsidRDefault="0057355D" w:rsidP="000B054A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ONU est un environnement de travail inclusif et encourage tous les candidats qualifiés à postuler, quels que soient leur sexe, leur nationalité, leur handicap, leur orientation sexuelle et leur appartenance culturelle, religieuse ou ethnique. </w:t>
      </w:r>
    </w:p>
    <w:p w14:paraId="025C5F88" w14:textId="77777777" w:rsidR="0057355D" w:rsidRPr="00C01361" w:rsidRDefault="00F87118" w:rsidP="000B054A">
      <w:pPr>
        <w:spacing w:after="240" w:line="300" w:lineRule="exact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Les candidatures féminines sont vivement encouragées. </w:t>
      </w:r>
    </w:p>
    <w:p w14:paraId="0C61F1FA" w14:textId="645B8975" w:rsidR="00F03D6E" w:rsidRPr="00C01361" w:rsidRDefault="00755606" w:rsidP="000B054A">
      <w:pPr>
        <w:spacing w:after="240" w:line="300" w:lineRule="exact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Les candidatures de toute origine géographique sont les bienvenues et les candidats d</w:t>
      </w:r>
      <w:r w:rsidR="00E5192A"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’</w:t>
      </w:r>
      <w:r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Asie-Pacifique, d</w:t>
      </w:r>
      <w:r w:rsidR="00E5192A"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’</w:t>
      </w:r>
      <w:r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Amérique latine et des Caraïbes et d</w:t>
      </w:r>
      <w:r w:rsidR="00E5192A"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>’</w:t>
      </w:r>
      <w:r w:rsidRPr="00C01361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Afrique sont vivement encouragés à postuler. </w:t>
      </w:r>
    </w:p>
    <w:p w14:paraId="37F9F793" w14:textId="0710A5A2" w:rsidR="00F87118" w:rsidRPr="00C01361" w:rsidRDefault="00F03D6E" w:rsidP="00F36D8B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La liste des États Membres de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ONU qui composent ces groupes régionaux est disponible en anglais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0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http://www.un.org/depts/DGACM/RegionalGroups.shtml</w:t>
        </w:r>
      </w:hyperlink>
      <w:r w:rsidR="00F36D8B">
        <w:rPr>
          <w:rFonts w:ascii="Times New Roman" w:eastAsia="Arial" w:hAnsi="Times New Roman"/>
          <w:sz w:val="24"/>
          <w:szCs w:val="24"/>
        </w:rPr>
        <w:t xml:space="preserve"> </w:t>
      </w:r>
      <w:r w:rsidRPr="00C01361">
        <w:rPr>
          <w:rFonts w:ascii="Times New Roman" w:eastAsia="Arial" w:hAnsi="Times New Roman"/>
          <w:sz w:val="24"/>
          <w:szCs w:val="24"/>
        </w:rPr>
        <w:t>et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1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http://www.un.org/fr/hq/dgacm/regionalgroups/</w:t>
        </w:r>
      </w:hyperlink>
      <w:r w:rsidRPr="00C01361">
        <w:rPr>
          <w:rFonts w:ascii="Times New Roman" w:eastAsia="Arial" w:hAnsi="Times New Roman"/>
          <w:sz w:val="24"/>
          <w:szCs w:val="24"/>
        </w:rPr>
        <w:t>.</w:t>
      </w:r>
    </w:p>
    <w:p w14:paraId="0B9B81B8" w14:textId="77777777" w:rsidR="000B054A" w:rsidRPr="00C01361" w:rsidRDefault="000B054A" w:rsidP="00CC6C63">
      <w:pPr>
        <w:spacing w:after="240" w:line="3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C01361">
        <w:rPr>
          <w:rFonts w:ascii="Times New Roman" w:eastAsia="Arial" w:hAnsi="Times New Roman"/>
          <w:b/>
          <w:bCs/>
          <w:sz w:val="24"/>
          <w:szCs w:val="24"/>
        </w:rPr>
        <w:t>Ensemble des prestations et renseignements complémentaires</w:t>
      </w:r>
    </w:p>
    <w:p w14:paraId="67CC35F9" w14:textId="24AEE6C2" w:rsidR="003E46E7" w:rsidRPr="00C01361" w:rsidRDefault="00D32162" w:rsidP="008377EF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Conformément à la résolution </w:t>
      </w:r>
      <w:hyperlink r:id="rId12" w:history="1">
        <w:r w:rsidRPr="00072412">
          <w:rPr>
            <w:rStyle w:val="Hyperlink"/>
            <w:rFonts w:ascii="Times New Roman" w:eastAsia="Arial" w:hAnsi="Times New Roman"/>
            <w:sz w:val="24"/>
            <w:szCs w:val="24"/>
          </w:rPr>
          <w:t>63/253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 de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Assemblée générale, les juges du Tribunal du contentieux administratif sont rémunérés à un taux équivalent à celui prévu dans le barème des traitements applicable aux administrateurs et fonctionnaires de rang supérieur pour les fonctionnaires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échelon IV de la classe D-2. (À titre indicatif, depuis le 1</w:t>
      </w:r>
      <w:r w:rsidRPr="00410A8D">
        <w:rPr>
          <w:rFonts w:ascii="Times New Roman" w:eastAsia="Arial" w:hAnsi="Times New Roman"/>
          <w:sz w:val="24"/>
          <w:szCs w:val="24"/>
          <w:vertAlign w:val="superscript"/>
        </w:rPr>
        <w:t>er</w:t>
      </w:r>
      <w:r w:rsidR="00A64024" w:rsidRPr="00C01361">
        <w:rPr>
          <w:rFonts w:ascii="Times New Roman" w:eastAsia="Arial" w:hAnsi="Times New Roman"/>
          <w:sz w:val="24"/>
          <w:szCs w:val="24"/>
        </w:rPr>
        <w:t xml:space="preserve"> </w:t>
      </w:r>
      <w:r w:rsidRPr="00C01361">
        <w:rPr>
          <w:rFonts w:ascii="Times New Roman" w:eastAsia="Arial" w:hAnsi="Times New Roman"/>
          <w:sz w:val="24"/>
          <w:szCs w:val="24"/>
        </w:rPr>
        <w:t>janvier 201</w:t>
      </w:r>
      <w:r w:rsidR="0048647C">
        <w:rPr>
          <w:rFonts w:ascii="Times New Roman" w:eastAsia="Arial" w:hAnsi="Times New Roman"/>
          <w:sz w:val="24"/>
          <w:szCs w:val="24"/>
        </w:rPr>
        <w:t>9</w:t>
      </w:r>
      <w:r w:rsidRPr="00C01361">
        <w:rPr>
          <w:rFonts w:ascii="Times New Roman" w:eastAsia="Arial" w:hAnsi="Times New Roman"/>
          <w:sz w:val="24"/>
          <w:szCs w:val="24"/>
        </w:rPr>
        <w:t xml:space="preserve">, la rémunération </w:t>
      </w:r>
      <w:r w:rsidR="00544FF4">
        <w:rPr>
          <w:rFonts w:ascii="Times New Roman" w:eastAsia="Arial" w:hAnsi="Times New Roman"/>
          <w:sz w:val="24"/>
          <w:szCs w:val="24"/>
        </w:rPr>
        <w:t>mensuell</w:t>
      </w:r>
      <w:r w:rsidR="002E57A9">
        <w:rPr>
          <w:rFonts w:ascii="Times New Roman" w:eastAsia="Arial" w:hAnsi="Times New Roman"/>
          <w:sz w:val="24"/>
          <w:szCs w:val="24"/>
        </w:rPr>
        <w:t>e</w:t>
      </w:r>
      <w:r w:rsidR="00544FF4" w:rsidRPr="00C01361">
        <w:rPr>
          <w:rFonts w:ascii="Times New Roman" w:eastAsia="Arial" w:hAnsi="Times New Roman"/>
          <w:sz w:val="24"/>
          <w:szCs w:val="24"/>
        </w:rPr>
        <w:t xml:space="preserve"> </w:t>
      </w:r>
      <w:r w:rsidRPr="00C01361">
        <w:rPr>
          <w:rFonts w:ascii="Times New Roman" w:eastAsia="Arial" w:hAnsi="Times New Roman"/>
          <w:sz w:val="24"/>
          <w:szCs w:val="24"/>
        </w:rPr>
        <w:t>nette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 fonctionnaire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échelon IV de la classe D-2, avec indemnité de poste, est de </w:t>
      </w:r>
      <w:r w:rsidR="0048647C">
        <w:rPr>
          <w:rFonts w:ascii="Times New Roman" w:eastAsia="Arial" w:hAnsi="Times New Roman"/>
          <w:sz w:val="24"/>
          <w:szCs w:val="24"/>
        </w:rPr>
        <w:t>15 945,42</w:t>
      </w:r>
      <w:r w:rsidRPr="00C01361">
        <w:rPr>
          <w:rFonts w:ascii="Times New Roman" w:eastAsia="Arial" w:hAnsi="Times New Roman"/>
          <w:sz w:val="24"/>
          <w:szCs w:val="24"/>
        </w:rPr>
        <w:t xml:space="preserve"> dollars à New York, </w:t>
      </w:r>
      <w:r w:rsidR="0048647C">
        <w:rPr>
          <w:rFonts w:ascii="Times New Roman" w:eastAsia="Arial" w:hAnsi="Times New Roman"/>
          <w:sz w:val="24"/>
          <w:szCs w:val="24"/>
        </w:rPr>
        <w:t>16 480,50</w:t>
      </w:r>
      <w:r w:rsidRPr="00C01361">
        <w:rPr>
          <w:rFonts w:ascii="Times New Roman" w:eastAsia="Arial" w:hAnsi="Times New Roman"/>
          <w:sz w:val="24"/>
          <w:szCs w:val="24"/>
        </w:rPr>
        <w:t xml:space="preserve"> dollars à Genève et </w:t>
      </w:r>
      <w:r w:rsidR="0048647C">
        <w:rPr>
          <w:rFonts w:ascii="Times New Roman" w:eastAsia="Arial" w:hAnsi="Times New Roman"/>
          <w:sz w:val="24"/>
          <w:szCs w:val="24"/>
        </w:rPr>
        <w:t>13 007,34</w:t>
      </w:r>
      <w:r w:rsidRPr="00C01361">
        <w:rPr>
          <w:rFonts w:ascii="Times New Roman" w:eastAsia="Arial" w:hAnsi="Times New Roman"/>
          <w:sz w:val="24"/>
          <w:szCs w:val="24"/>
        </w:rPr>
        <w:t xml:space="preserve"> dollars à Nairobi.) Entre autres avantages et prestations, les juges du Tribunal du contentieux administratif peuvent également bénéficier de congés annuels,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indemnité pour charges de famille,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assurance médicale et dentaire,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allocation-logement,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indemnité pour frais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études des enfants,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un congé dans les foyers et de congés rémunérés en cas de maladie, de maternité, </w:t>
      </w:r>
      <w:r w:rsidRPr="00C01361">
        <w:rPr>
          <w:rFonts w:ascii="Times New Roman" w:eastAsia="Arial" w:hAnsi="Times New Roman"/>
          <w:sz w:val="24"/>
          <w:szCs w:val="24"/>
        </w:rPr>
        <w:lastRenderedPageBreak/>
        <w:t>de paternité ou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adoption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 enfant. Les juges à mi-temps sont rémunérés pour chaque mois où il est fait appel à eux au cours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une année civile. Des frais de transport et une indemnité journalière de subsistance peuvent être versés si le juge est amené à se déplacer pour prendre ses fonctions.</w:t>
      </w:r>
      <w:r w:rsidR="00E5192A" w:rsidRPr="00C01361">
        <w:rPr>
          <w:rFonts w:ascii="Times New Roman" w:eastAsia="Arial" w:hAnsi="Times New Roman"/>
          <w:sz w:val="24"/>
          <w:szCs w:val="24"/>
        </w:rPr>
        <w:t xml:space="preserve"> </w:t>
      </w:r>
    </w:p>
    <w:p w14:paraId="41DAD108" w14:textId="37CD1A7F" w:rsidR="004973E4" w:rsidRPr="00C01361" w:rsidRDefault="004973E4" w:rsidP="00F36D8B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qualifications requises des juges, leur mandat et les dispositions régissant le fonctionnement</w:t>
      </w:r>
      <w:r w:rsidR="00F36D8B">
        <w:rPr>
          <w:rFonts w:ascii="Times New Roman" w:eastAsia="Arial" w:hAnsi="Times New Roman"/>
          <w:sz w:val="24"/>
          <w:szCs w:val="24"/>
        </w:rPr>
        <w:t> </w:t>
      </w:r>
      <w:r w:rsidRPr="00C01361">
        <w:rPr>
          <w:rFonts w:ascii="Times New Roman" w:eastAsia="Arial" w:hAnsi="Times New Roman"/>
          <w:sz w:val="24"/>
          <w:szCs w:val="24"/>
        </w:rPr>
        <w:t xml:space="preserve">du Tribunal du contentieux administratif figurent dans le Statut </w:t>
      </w:r>
      <w:r w:rsidR="00AE0AB9" w:rsidRPr="00C01361">
        <w:rPr>
          <w:rFonts w:ascii="Times New Roman" w:eastAsia="Arial" w:hAnsi="Times New Roman"/>
          <w:sz w:val="24"/>
          <w:szCs w:val="24"/>
        </w:rPr>
        <w:t>de celui-ci</w:t>
      </w:r>
      <w:r w:rsidRPr="00C01361">
        <w:rPr>
          <w:rFonts w:ascii="Times New Roman" w:eastAsia="Arial" w:hAnsi="Times New Roman"/>
          <w:sz w:val="24"/>
          <w:szCs w:val="24"/>
        </w:rPr>
        <w:t>, disponible en</w:t>
      </w:r>
      <w:r w:rsidR="00F36D8B">
        <w:rPr>
          <w:rFonts w:ascii="Times New Roman" w:eastAsia="Arial" w:hAnsi="Times New Roman"/>
          <w:sz w:val="24"/>
          <w:szCs w:val="24"/>
        </w:rPr>
        <w:t> </w:t>
      </w:r>
      <w:r w:rsidRPr="00C01361">
        <w:rPr>
          <w:rFonts w:ascii="Times New Roman" w:eastAsia="Arial" w:hAnsi="Times New Roman"/>
          <w:sz w:val="24"/>
          <w:szCs w:val="24"/>
        </w:rPr>
        <w:t>anglais</w:t>
      </w:r>
      <w:r w:rsidR="00F36D8B">
        <w:rPr>
          <w:rFonts w:ascii="Times New Roman" w:eastAsia="Arial" w:hAnsi="Times New Roman"/>
          <w:sz w:val="24"/>
          <w:szCs w:val="24"/>
        </w:rPr>
        <w:t> </w:t>
      </w:r>
      <w:r w:rsidRPr="00C01361">
        <w:rPr>
          <w:rFonts w:ascii="Times New Roman" w:eastAsia="Arial" w:hAnsi="Times New Roman"/>
          <w:sz w:val="24"/>
          <w:szCs w:val="24"/>
        </w:rPr>
        <w:t>à</w:t>
      </w:r>
      <w:r w:rsidR="00F36D8B">
        <w:rPr>
          <w:rFonts w:ascii="Times New Roman" w:eastAsia="Arial" w:hAnsi="Times New Roman"/>
          <w:sz w:val="24"/>
          <w:szCs w:val="24"/>
        </w:rPr>
        <w:t> </w:t>
      </w:r>
      <w:r w:rsidRPr="00C01361">
        <w:rPr>
          <w:rFonts w:ascii="Times New Roman" w:eastAsia="Arial" w:hAnsi="Times New Roman"/>
          <w:sz w:val="24"/>
          <w:szCs w:val="24"/>
        </w:rPr>
        <w:t>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3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http://www.un.org/en/internaljustice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 et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4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http://www.un.org/fr/internaljustice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. </w:t>
      </w:r>
    </w:p>
    <w:p w14:paraId="5C79219B" w14:textId="53FDE8C4" w:rsidR="007731BD" w:rsidRPr="00C01361" w:rsidRDefault="007731BD" w:rsidP="00F36D8B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juges sont tenus par le Code de déontologie adopté par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Assemblée générale de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ONU, disponible en anglais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5" w:history="1">
        <w:r w:rsidR="00F36D8B" w:rsidRPr="00A542E1">
          <w:rPr>
            <w:rStyle w:val="Hyperlink"/>
            <w:rFonts w:ascii="Times New Roman" w:eastAsia="Arial" w:hAnsi="Times New Roman"/>
            <w:sz w:val="24"/>
            <w:szCs w:val="24"/>
          </w:rPr>
          <w:t>http://www.un.org/en/internaljustice/undt/conduct.shtml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 et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6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http://www.un.org/fr/internaljustice/undt/conduct.shtml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. </w:t>
      </w:r>
    </w:p>
    <w:p w14:paraId="72815E6E" w14:textId="42F24905" w:rsidR="006C0839" w:rsidRPr="00C01361" w:rsidRDefault="006C0839" w:rsidP="004973E4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juges à mi-temps peuvent pratiquer le droit ou exercer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autres fonctions dans leur juridiction nationale ou dans des juridictions internationales lorsqu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ils ne travaillent pas pour le Tribunal du contentieux administratif, conformément aux dispositions du Code de déontologie.</w:t>
      </w:r>
    </w:p>
    <w:p w14:paraId="0291FEB2" w14:textId="47D91330" w:rsidR="00BA3AFC" w:rsidRPr="00C01361" w:rsidRDefault="00BA3AFC" w:rsidP="00BA3AFC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Un juge du Tribunal du contentieux administratif ne peut être nommé à un poste non judiciaire dans le système des Nations Unies pendant cinq ans après avoir cessé ses fonctions.</w:t>
      </w:r>
    </w:p>
    <w:p w14:paraId="35E49D86" w14:textId="73D87879" w:rsidR="004973E4" w:rsidRPr="00C01361" w:rsidRDefault="004973E4" w:rsidP="004973E4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Les juges sont nommés par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Assemblée générale à partir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une liste de deux ou trois candidats recommandés pour chaque poste vacant par le Conseil de justice interne. </w:t>
      </w:r>
    </w:p>
    <w:p w14:paraId="42FCC399" w14:textId="50CF09B7" w:rsidR="0091558F" w:rsidRPr="00C01361" w:rsidRDefault="0091558F" w:rsidP="0091558F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 xml:space="preserve">En raison du nombre de candidatures attendues, le Conseil de justice interne ne pourra répondre à aucune demande de renseignements concernant le processus de sélection. Seuls les candidats qui avanceront dans le processus de sélection seront contactés. </w:t>
      </w:r>
    </w:p>
    <w:p w14:paraId="143E18B8" w14:textId="3ECE7A07" w:rsidR="003E46E7" w:rsidRPr="00C01361" w:rsidRDefault="00321418" w:rsidP="003E46E7">
      <w:pPr>
        <w:spacing w:after="240" w:line="300" w:lineRule="exact"/>
        <w:jc w:val="both"/>
        <w:rPr>
          <w:rFonts w:ascii="Times New Roman" w:eastAsia="Arial" w:hAnsi="Times New Roman"/>
          <w:sz w:val="24"/>
          <w:szCs w:val="24"/>
        </w:rPr>
      </w:pPr>
      <w:r w:rsidRPr="00C01361">
        <w:rPr>
          <w:rFonts w:ascii="Times New Roman" w:eastAsia="Arial" w:hAnsi="Times New Roman"/>
          <w:sz w:val="24"/>
          <w:szCs w:val="24"/>
        </w:rPr>
        <w:t>De plus amples informations sur le système d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>administration de la justice sont disponibles en anglais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7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www.un.org/en/oaj</w:t>
        </w:r>
      </w:hyperlink>
      <w:r w:rsidR="00F36D8B">
        <w:rPr>
          <w:rFonts w:ascii="Times New Roman" w:eastAsia="Arial" w:hAnsi="Times New Roman"/>
          <w:sz w:val="24"/>
          <w:szCs w:val="24"/>
        </w:rPr>
        <w:t xml:space="preserve"> </w:t>
      </w:r>
      <w:r w:rsidRPr="00C01361">
        <w:rPr>
          <w:rFonts w:ascii="Times New Roman" w:eastAsia="Arial" w:hAnsi="Times New Roman"/>
          <w:sz w:val="24"/>
          <w:szCs w:val="24"/>
        </w:rPr>
        <w:t>et en français à l</w:t>
      </w:r>
      <w:r w:rsidR="00E5192A" w:rsidRPr="00C01361">
        <w:rPr>
          <w:rFonts w:ascii="Times New Roman" w:eastAsia="Arial" w:hAnsi="Times New Roman"/>
          <w:sz w:val="24"/>
          <w:szCs w:val="24"/>
        </w:rPr>
        <w:t>’</w:t>
      </w:r>
      <w:r w:rsidRPr="00C01361">
        <w:rPr>
          <w:rFonts w:ascii="Times New Roman" w:eastAsia="Arial" w:hAnsi="Times New Roman"/>
          <w:sz w:val="24"/>
          <w:szCs w:val="24"/>
        </w:rPr>
        <w:t xml:space="preserve">adresse </w:t>
      </w:r>
      <w:hyperlink r:id="rId18" w:history="1">
        <w:r w:rsidR="00F36D8B" w:rsidRPr="002854A2">
          <w:rPr>
            <w:rStyle w:val="Hyperlink"/>
            <w:rFonts w:ascii="Times New Roman" w:eastAsia="Arial" w:hAnsi="Times New Roman"/>
            <w:sz w:val="24"/>
            <w:szCs w:val="24"/>
          </w:rPr>
          <w:t>www.un.org/fr/oaj</w:t>
        </w:r>
      </w:hyperlink>
      <w:r w:rsidRPr="00C01361">
        <w:rPr>
          <w:rFonts w:ascii="Times New Roman" w:eastAsia="Arial" w:hAnsi="Times New Roman"/>
          <w:sz w:val="24"/>
          <w:szCs w:val="24"/>
        </w:rPr>
        <w:t xml:space="preserve">. Les candidats sont invités à se familiariser avec la jurisprudence du Tribunal du contentieux administratif, disponible sur son site Web. </w:t>
      </w:r>
    </w:p>
    <w:sectPr w:rsidR="003E46E7" w:rsidRPr="00C0136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C745" w14:textId="77777777" w:rsidR="000527D8" w:rsidRDefault="000527D8" w:rsidP="00CC6C63">
      <w:pPr>
        <w:spacing w:after="0" w:line="240" w:lineRule="auto"/>
      </w:pPr>
      <w:r>
        <w:separator/>
      </w:r>
    </w:p>
  </w:endnote>
  <w:endnote w:type="continuationSeparator" w:id="0">
    <w:p w14:paraId="0A7297D7" w14:textId="77777777" w:rsidR="000527D8" w:rsidRDefault="000527D8" w:rsidP="00CC6C63">
      <w:pPr>
        <w:spacing w:after="0" w:line="240" w:lineRule="auto"/>
      </w:pPr>
      <w:r>
        <w:continuationSeparator/>
      </w:r>
    </w:p>
  </w:endnote>
  <w:endnote w:type="continuationNotice" w:id="1">
    <w:p w14:paraId="19E73508" w14:textId="77777777" w:rsidR="000527D8" w:rsidRDefault="00052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0B49" w14:textId="19C4CC61" w:rsidR="00431F86" w:rsidRPr="00CC6C63" w:rsidRDefault="00431F86" w:rsidP="00CC6C63">
    <w:pPr>
      <w:pStyle w:val="Footer"/>
      <w:tabs>
        <w:tab w:val="clear" w:pos="9026"/>
        <w:tab w:val="right" w:pos="9360"/>
      </w:tabs>
      <w:jc w:val="center"/>
      <w:rPr>
        <w:rFonts w:ascii="Times New Roman" w:hAnsi="Times New Roman"/>
        <w:sz w:val="20"/>
        <w:szCs w:val="20"/>
      </w:rPr>
    </w:pPr>
    <w:r w:rsidRPr="00CC6C63">
      <w:rPr>
        <w:rFonts w:ascii="Times New Roman" w:hAnsi="Times New Roman"/>
        <w:sz w:val="20"/>
        <w:szCs w:val="20"/>
      </w:rPr>
      <w:fldChar w:fldCharType="begin"/>
    </w:r>
    <w:r w:rsidRPr="00CC6C63">
      <w:rPr>
        <w:rFonts w:ascii="Times New Roman" w:hAnsi="Times New Roman"/>
        <w:sz w:val="20"/>
        <w:szCs w:val="20"/>
      </w:rPr>
      <w:instrText xml:space="preserve"> PAGE   \* MERGEFORMAT </w:instrText>
    </w:r>
    <w:r w:rsidRPr="00CC6C63">
      <w:rPr>
        <w:rFonts w:ascii="Times New Roman" w:hAnsi="Times New Roman"/>
        <w:sz w:val="20"/>
        <w:szCs w:val="20"/>
      </w:rPr>
      <w:fldChar w:fldCharType="separate"/>
    </w:r>
    <w:r w:rsidR="00435526">
      <w:rPr>
        <w:rFonts w:ascii="Times New Roman" w:hAnsi="Times New Roman"/>
        <w:noProof/>
        <w:sz w:val="20"/>
        <w:szCs w:val="20"/>
      </w:rPr>
      <w:t>2</w:t>
    </w:r>
    <w:r w:rsidRPr="00CC6C63">
      <w:rPr>
        <w:rFonts w:ascii="Times New Roman" w:hAnsi="Times New Roman"/>
        <w:noProof/>
        <w:sz w:val="20"/>
        <w:szCs w:val="20"/>
      </w:rPr>
      <w:fldChar w:fldCharType="end"/>
    </w:r>
  </w:p>
  <w:p w14:paraId="1988AB17" w14:textId="77777777" w:rsidR="00431F86" w:rsidRDefault="004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A56E" w14:textId="77777777" w:rsidR="000527D8" w:rsidRDefault="000527D8" w:rsidP="00CC6C63">
      <w:pPr>
        <w:spacing w:after="0" w:line="240" w:lineRule="auto"/>
      </w:pPr>
      <w:r>
        <w:separator/>
      </w:r>
    </w:p>
  </w:footnote>
  <w:footnote w:type="continuationSeparator" w:id="0">
    <w:p w14:paraId="3E3E06A1" w14:textId="77777777" w:rsidR="000527D8" w:rsidRDefault="000527D8" w:rsidP="00CC6C63">
      <w:pPr>
        <w:spacing w:after="0" w:line="240" w:lineRule="auto"/>
      </w:pPr>
      <w:r>
        <w:continuationSeparator/>
      </w:r>
    </w:p>
  </w:footnote>
  <w:footnote w:type="continuationNotice" w:id="1">
    <w:p w14:paraId="17E1AEE6" w14:textId="77777777" w:rsidR="000527D8" w:rsidRDefault="000527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BDC"/>
    <w:multiLevelType w:val="hybridMultilevel"/>
    <w:tmpl w:val="E9CCE3FC"/>
    <w:lvl w:ilvl="0" w:tplc="11E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154E3"/>
    <w:multiLevelType w:val="hybridMultilevel"/>
    <w:tmpl w:val="ACA4C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81C07"/>
    <w:multiLevelType w:val="hybridMultilevel"/>
    <w:tmpl w:val="E544F7AC"/>
    <w:lvl w:ilvl="0" w:tplc="2FFC5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E7523"/>
    <w:multiLevelType w:val="hybridMultilevel"/>
    <w:tmpl w:val="01F2F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53014"/>
    <w:multiLevelType w:val="hybridMultilevel"/>
    <w:tmpl w:val="7E6A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2DD3"/>
    <w:multiLevelType w:val="hybridMultilevel"/>
    <w:tmpl w:val="456252D8"/>
    <w:lvl w:ilvl="0" w:tplc="78D064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05637"/>
    <w:multiLevelType w:val="hybridMultilevel"/>
    <w:tmpl w:val="7F848A8C"/>
    <w:lvl w:ilvl="0" w:tplc="9216C2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B79"/>
    <w:multiLevelType w:val="hybridMultilevel"/>
    <w:tmpl w:val="808A9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  <w:lvlOverride w:ilvl="0">
      <w:lvl w:ilvl="0" w:tplc="9216C206">
        <w:start w:val="1"/>
        <w:numFmt w:val="decimal"/>
        <w:lvlText w:val="%1."/>
        <w:lvlJc w:val="left"/>
        <w:pPr>
          <w:ind w:left="720" w:hanging="360"/>
        </w:pPr>
        <w:rPr>
          <w:rFonts w:asciiTheme="majorBidi" w:hAnsiTheme="majorBidi" w:cstheme="majorBidi" w:hint="default"/>
          <w:sz w:val="24"/>
          <w:szCs w:val="24"/>
        </w:rPr>
      </w:lvl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B4"/>
    <w:rsid w:val="000032C7"/>
    <w:rsid w:val="000527D8"/>
    <w:rsid w:val="00057BA2"/>
    <w:rsid w:val="000612EB"/>
    <w:rsid w:val="00061F63"/>
    <w:rsid w:val="00062F54"/>
    <w:rsid w:val="00072412"/>
    <w:rsid w:val="00073EF0"/>
    <w:rsid w:val="00087813"/>
    <w:rsid w:val="000908F2"/>
    <w:rsid w:val="0009569D"/>
    <w:rsid w:val="000A0A66"/>
    <w:rsid w:val="000A40E5"/>
    <w:rsid w:val="000B054A"/>
    <w:rsid w:val="000B4CC7"/>
    <w:rsid w:val="000F133C"/>
    <w:rsid w:val="00132D26"/>
    <w:rsid w:val="001363CB"/>
    <w:rsid w:val="00141DCF"/>
    <w:rsid w:val="001517CD"/>
    <w:rsid w:val="00193E0E"/>
    <w:rsid w:val="001C34C0"/>
    <w:rsid w:val="001D7467"/>
    <w:rsid w:val="001D7C5A"/>
    <w:rsid w:val="001E05EB"/>
    <w:rsid w:val="00217EC6"/>
    <w:rsid w:val="002743A8"/>
    <w:rsid w:val="0029634F"/>
    <w:rsid w:val="002A1A1D"/>
    <w:rsid w:val="002A466E"/>
    <w:rsid w:val="002C5947"/>
    <w:rsid w:val="002E25B7"/>
    <w:rsid w:val="002E57A9"/>
    <w:rsid w:val="002E6B16"/>
    <w:rsid w:val="002F22B7"/>
    <w:rsid w:val="002F4A7C"/>
    <w:rsid w:val="003150A5"/>
    <w:rsid w:val="00321418"/>
    <w:rsid w:val="00342C9E"/>
    <w:rsid w:val="0036632F"/>
    <w:rsid w:val="00386E55"/>
    <w:rsid w:val="003A15F9"/>
    <w:rsid w:val="003B329E"/>
    <w:rsid w:val="003C0BE8"/>
    <w:rsid w:val="003D3A25"/>
    <w:rsid w:val="003D3C30"/>
    <w:rsid w:val="003E46E7"/>
    <w:rsid w:val="00401B40"/>
    <w:rsid w:val="00402CD4"/>
    <w:rsid w:val="004064FB"/>
    <w:rsid w:val="00410A8D"/>
    <w:rsid w:val="004170D0"/>
    <w:rsid w:val="00420F83"/>
    <w:rsid w:val="00431F86"/>
    <w:rsid w:val="00435526"/>
    <w:rsid w:val="0044263C"/>
    <w:rsid w:val="004621C6"/>
    <w:rsid w:val="00473745"/>
    <w:rsid w:val="00482C95"/>
    <w:rsid w:val="0048647C"/>
    <w:rsid w:val="004973E4"/>
    <w:rsid w:val="004A3A1A"/>
    <w:rsid w:val="004C3655"/>
    <w:rsid w:val="00500366"/>
    <w:rsid w:val="005303F8"/>
    <w:rsid w:val="0053718E"/>
    <w:rsid w:val="00544FF4"/>
    <w:rsid w:val="0057355D"/>
    <w:rsid w:val="00590262"/>
    <w:rsid w:val="005925A0"/>
    <w:rsid w:val="00594143"/>
    <w:rsid w:val="005C4D46"/>
    <w:rsid w:val="005D7476"/>
    <w:rsid w:val="005E1AED"/>
    <w:rsid w:val="005E220A"/>
    <w:rsid w:val="00630062"/>
    <w:rsid w:val="006518C2"/>
    <w:rsid w:val="006A6BEC"/>
    <w:rsid w:val="006B5353"/>
    <w:rsid w:val="006C0839"/>
    <w:rsid w:val="006D4247"/>
    <w:rsid w:val="00713C85"/>
    <w:rsid w:val="007219A4"/>
    <w:rsid w:val="007457C1"/>
    <w:rsid w:val="007468A9"/>
    <w:rsid w:val="00755606"/>
    <w:rsid w:val="007731BD"/>
    <w:rsid w:val="007822DE"/>
    <w:rsid w:val="007B3A75"/>
    <w:rsid w:val="007B64C7"/>
    <w:rsid w:val="007E6DFC"/>
    <w:rsid w:val="007E7CD9"/>
    <w:rsid w:val="007F0812"/>
    <w:rsid w:val="007F4CB4"/>
    <w:rsid w:val="007F7550"/>
    <w:rsid w:val="008377EF"/>
    <w:rsid w:val="008558DC"/>
    <w:rsid w:val="008814C2"/>
    <w:rsid w:val="008919D3"/>
    <w:rsid w:val="008A109D"/>
    <w:rsid w:val="008A40E2"/>
    <w:rsid w:val="008A4DC2"/>
    <w:rsid w:val="008A50D0"/>
    <w:rsid w:val="008B373C"/>
    <w:rsid w:val="0091558F"/>
    <w:rsid w:val="00932495"/>
    <w:rsid w:val="00946A35"/>
    <w:rsid w:val="0095413A"/>
    <w:rsid w:val="00956884"/>
    <w:rsid w:val="00962C32"/>
    <w:rsid w:val="00966FDB"/>
    <w:rsid w:val="00970957"/>
    <w:rsid w:val="00987B2C"/>
    <w:rsid w:val="00A002BC"/>
    <w:rsid w:val="00A24D51"/>
    <w:rsid w:val="00A542E1"/>
    <w:rsid w:val="00A64024"/>
    <w:rsid w:val="00A915D3"/>
    <w:rsid w:val="00A92E87"/>
    <w:rsid w:val="00A95160"/>
    <w:rsid w:val="00A9593D"/>
    <w:rsid w:val="00AC684F"/>
    <w:rsid w:val="00AD0264"/>
    <w:rsid w:val="00AE0AB9"/>
    <w:rsid w:val="00AE7951"/>
    <w:rsid w:val="00AF5A7F"/>
    <w:rsid w:val="00B21575"/>
    <w:rsid w:val="00B2166D"/>
    <w:rsid w:val="00B4580B"/>
    <w:rsid w:val="00B56208"/>
    <w:rsid w:val="00B61B78"/>
    <w:rsid w:val="00B6292F"/>
    <w:rsid w:val="00B8523C"/>
    <w:rsid w:val="00B92A6E"/>
    <w:rsid w:val="00BA3AFC"/>
    <w:rsid w:val="00BA5B05"/>
    <w:rsid w:val="00BB5628"/>
    <w:rsid w:val="00BF5AA6"/>
    <w:rsid w:val="00BF69F8"/>
    <w:rsid w:val="00C01361"/>
    <w:rsid w:val="00C04E33"/>
    <w:rsid w:val="00C402C6"/>
    <w:rsid w:val="00C41EA8"/>
    <w:rsid w:val="00C4256B"/>
    <w:rsid w:val="00C5687F"/>
    <w:rsid w:val="00C57077"/>
    <w:rsid w:val="00C82817"/>
    <w:rsid w:val="00C9632C"/>
    <w:rsid w:val="00CA5781"/>
    <w:rsid w:val="00CA7CC4"/>
    <w:rsid w:val="00CC6C63"/>
    <w:rsid w:val="00D21CC6"/>
    <w:rsid w:val="00D21D32"/>
    <w:rsid w:val="00D32162"/>
    <w:rsid w:val="00D50C4A"/>
    <w:rsid w:val="00D51143"/>
    <w:rsid w:val="00D51D8E"/>
    <w:rsid w:val="00D571D5"/>
    <w:rsid w:val="00D76938"/>
    <w:rsid w:val="00D93D83"/>
    <w:rsid w:val="00DC7C44"/>
    <w:rsid w:val="00E047E1"/>
    <w:rsid w:val="00E13E83"/>
    <w:rsid w:val="00E2128E"/>
    <w:rsid w:val="00E34A87"/>
    <w:rsid w:val="00E36686"/>
    <w:rsid w:val="00E4359C"/>
    <w:rsid w:val="00E5192A"/>
    <w:rsid w:val="00E701EE"/>
    <w:rsid w:val="00E85DD8"/>
    <w:rsid w:val="00EA2C4F"/>
    <w:rsid w:val="00ED113B"/>
    <w:rsid w:val="00ED6D77"/>
    <w:rsid w:val="00EF1D62"/>
    <w:rsid w:val="00F03D6E"/>
    <w:rsid w:val="00F36D8B"/>
    <w:rsid w:val="00F60025"/>
    <w:rsid w:val="00F87118"/>
    <w:rsid w:val="00FA64B5"/>
    <w:rsid w:val="00FB3888"/>
    <w:rsid w:val="00FE68D6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84AD27"/>
  <w15:docId w15:val="{72B04ADC-ACFF-4C3A-9B2C-099E0B7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4CB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F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B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F4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B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4C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523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C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6C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C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6C63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5303F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2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22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fr/internaljustice/overview/judicial-vacancies.shtml" TargetMode="External"/><Relationship Id="rId13" Type="http://schemas.openxmlformats.org/officeDocument/2006/relationships/hyperlink" Target="http://www.un.org/en/internaljustice" TargetMode="External"/><Relationship Id="rId18" Type="http://schemas.openxmlformats.org/officeDocument/2006/relationships/hyperlink" Target="http://www.un.org/fr/oa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.org/en/internaljustice/overview/judicial-vacancies.shtml" TargetMode="External"/><Relationship Id="rId12" Type="http://schemas.openxmlformats.org/officeDocument/2006/relationships/hyperlink" Target="https://undocs.org/fr/A/RES/63/253" TargetMode="External"/><Relationship Id="rId17" Type="http://schemas.openxmlformats.org/officeDocument/2006/relationships/hyperlink" Target="http://www.un.org/en/oa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fr/internaljustice/undt/conduct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fr/hq/dgacm/regionalgrou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.org/en/internaljustice/undt/conduct.shtml" TargetMode="External"/><Relationship Id="rId10" Type="http://schemas.openxmlformats.org/officeDocument/2006/relationships/hyperlink" Target="http://www.un.org/depts/DGACM/RegionalGroups.s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ljusticecouncil-application@un.org" TargetMode="External"/><Relationship Id="rId14" Type="http://schemas.openxmlformats.org/officeDocument/2006/relationships/hyperlink" Target="http://www.un.org/fr/internal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7990</CharactersWithSpaces>
  <SharedDoc>false</SharedDoc>
  <HLinks>
    <vt:vector size="42" baseType="variant">
      <vt:variant>
        <vt:i4>5898270</vt:i4>
      </vt:variant>
      <vt:variant>
        <vt:i4>24</vt:i4>
      </vt:variant>
      <vt:variant>
        <vt:i4>0</vt:i4>
      </vt:variant>
      <vt:variant>
        <vt:i4>5</vt:i4>
      </vt:variant>
      <vt:variant>
        <vt:lpwstr>http://www.un.org/fr/oaj</vt:lpwstr>
      </vt:variant>
      <vt:variant>
        <vt:lpwstr/>
      </vt:variant>
      <vt:variant>
        <vt:i4>4587549</vt:i4>
      </vt:variant>
      <vt:variant>
        <vt:i4>21</vt:i4>
      </vt:variant>
      <vt:variant>
        <vt:i4>0</vt:i4>
      </vt:variant>
      <vt:variant>
        <vt:i4>5</vt:i4>
      </vt:variant>
      <vt:variant>
        <vt:lpwstr>http://www.un.org/en/oaj</vt:lpwstr>
      </vt:variant>
      <vt:variant>
        <vt:lpwstr/>
      </vt:variant>
      <vt:variant>
        <vt:i4>5898270</vt:i4>
      </vt:variant>
      <vt:variant>
        <vt:i4>18</vt:i4>
      </vt:variant>
      <vt:variant>
        <vt:i4>0</vt:i4>
      </vt:variant>
      <vt:variant>
        <vt:i4>5</vt:i4>
      </vt:variant>
      <vt:variant>
        <vt:lpwstr>http://www.un.org/fr/oaj</vt:lpwstr>
      </vt:variant>
      <vt:variant>
        <vt:lpwstr/>
      </vt:variant>
      <vt:variant>
        <vt:i4>4587549</vt:i4>
      </vt:variant>
      <vt:variant>
        <vt:i4>15</vt:i4>
      </vt:variant>
      <vt:variant>
        <vt:i4>0</vt:i4>
      </vt:variant>
      <vt:variant>
        <vt:i4>5</vt:i4>
      </vt:variant>
      <vt:variant>
        <vt:lpwstr>http://www.un.org/en/oaj</vt:lpwstr>
      </vt:variant>
      <vt:variant>
        <vt:lpwstr/>
      </vt:variant>
      <vt:variant>
        <vt:i4>8257551</vt:i4>
      </vt:variant>
      <vt:variant>
        <vt:i4>12</vt:i4>
      </vt:variant>
      <vt:variant>
        <vt:i4>0</vt:i4>
      </vt:variant>
      <vt:variant>
        <vt:i4>5</vt:i4>
      </vt:variant>
      <vt:variant>
        <vt:lpwstr>mailto:internaljusticecouncil-application@un.org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http://www.un.org/en/oaj/unjs/docs/JudicialVacancyFR.pdf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http://www.un.org/en/oaj/unjs/docs/JudicialVacancyEN.pdf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Jelena Guduric</cp:lastModifiedBy>
  <cp:revision>2</cp:revision>
  <cp:lastPrinted>2019-01-22T22:29:00Z</cp:lastPrinted>
  <dcterms:created xsi:type="dcterms:W3CDTF">2019-03-29T17:15:00Z</dcterms:created>
  <dcterms:modified xsi:type="dcterms:W3CDTF">2019-03-29T17:15:00Z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roland.sule</vt:lpwstr>
  </property>
  <property fmtid="{D5CDD505-2E9C-101B-9397-08002B2CF9AE}" pid="4" name="GeneratedDate">
    <vt:lpwstr>1/22/2019 7:27:34 PM</vt:lpwstr>
  </property>
  <property fmtid="{D5CDD505-2E9C-101B-9397-08002B2CF9AE}" pid="5" name="OriginalDocID">
    <vt:lpwstr>57f630f2-6e35-44b9-8275-6275654ad6c7</vt:lpwstr>
  </property>
</Properties>
</file>