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794" w:rsidRDefault="00272794" w:rsidP="00272794">
      <w:pPr>
        <w:pStyle w:val="BodyText"/>
        <w:ind w:left="2070"/>
        <w:rPr>
          <w:rFonts w:ascii="Book Antiqua" w:hAnsi="Book Antiqua"/>
          <w:sz w:val="28"/>
        </w:rPr>
      </w:pPr>
      <w:r w:rsidRPr="00225EBB">
        <w:rPr>
          <w:rFonts w:ascii="Book Antiqua" w:hAnsi="Book Antiqua"/>
          <w:noProof/>
          <w:sz w:val="28"/>
        </w:rPr>
        <w:drawing>
          <wp:anchor distT="0" distB="0" distL="114300" distR="114300" simplePos="0" relativeHeight="251660288" behindDoc="1" locked="0" layoutInCell="1" allowOverlap="1" wp14:anchorId="4C94E466" wp14:editId="070B0CED">
            <wp:simplePos x="0" y="0"/>
            <wp:positionH relativeFrom="column">
              <wp:posOffset>2366010</wp:posOffset>
            </wp:positionH>
            <wp:positionV relativeFrom="paragraph">
              <wp:posOffset>-152400</wp:posOffset>
            </wp:positionV>
            <wp:extent cx="1146810" cy="1112520"/>
            <wp:effectExtent l="19050" t="0" r="0" b="0"/>
            <wp:wrapNone/>
            <wp:docPr id="1" name="Picture 1" descr="C:\Users\awilson\Desktop\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ilson\Desktop\coa.jpg"/>
                    <pic:cNvPicPr>
                      <a:picLocks noChangeAspect="1" noChangeArrowheads="1"/>
                    </pic:cNvPicPr>
                  </pic:nvPicPr>
                  <pic:blipFill>
                    <a:blip r:embed="rId9" cstate="print"/>
                    <a:srcRect/>
                    <a:stretch>
                      <a:fillRect/>
                    </a:stretch>
                  </pic:blipFill>
                  <pic:spPr bwMode="auto">
                    <a:xfrm>
                      <a:off x="0" y="0"/>
                      <a:ext cx="1146810" cy="1112520"/>
                    </a:xfrm>
                    <a:prstGeom prst="rect">
                      <a:avLst/>
                    </a:prstGeom>
                    <a:noFill/>
                    <a:ln w="9525">
                      <a:noFill/>
                      <a:miter lim="800000"/>
                      <a:headEnd/>
                      <a:tailEnd/>
                    </a:ln>
                  </pic:spPr>
                </pic:pic>
              </a:graphicData>
            </a:graphic>
          </wp:anchor>
        </w:drawing>
      </w:r>
    </w:p>
    <w:p w:rsidR="00272794" w:rsidRDefault="00F865E9" w:rsidP="00A1089E">
      <w:pPr>
        <w:pStyle w:val="BodyText"/>
        <w:rPr>
          <w:rFonts w:ascii="Book Antiqua" w:hAnsi="Book Antiqua"/>
          <w:sz w:val="28"/>
        </w:rPr>
      </w:pPr>
      <w:r w:rsidRPr="005933B3">
        <w:rPr>
          <w:rFonts w:ascii="Times New Roman" w:hAnsi="Times New Roman" w:cs="Calibri"/>
          <w:noProof/>
          <w:color w:val="000000"/>
          <w:u w:color="000000"/>
          <w:bdr w:val="nil"/>
        </w:rPr>
        <w:drawing>
          <wp:anchor distT="57150" distB="57150" distL="57150" distR="57150" simplePos="0" relativeHeight="251662336" behindDoc="0" locked="0" layoutInCell="1" allowOverlap="1" wp14:anchorId="23832151" wp14:editId="78A1D6E5">
            <wp:simplePos x="0" y="0"/>
            <wp:positionH relativeFrom="column">
              <wp:posOffset>4846320</wp:posOffset>
            </wp:positionH>
            <wp:positionV relativeFrom="line">
              <wp:posOffset>-62230</wp:posOffset>
            </wp:positionV>
            <wp:extent cx="887095" cy="806450"/>
            <wp:effectExtent l="0" t="0" r="0" b="0"/>
            <wp:wrapSquare wrapText="bothSides" distT="57150" distB="57150" distL="57150" distR="57150"/>
            <wp:docPr id="12" name="officeArt object" descr="Caricom-logo"/>
            <wp:cNvGraphicFramePr/>
            <a:graphic xmlns:a="http://schemas.openxmlformats.org/drawingml/2006/main">
              <a:graphicData uri="http://schemas.openxmlformats.org/drawingml/2006/picture">
                <pic:pic xmlns:pic="http://schemas.openxmlformats.org/drawingml/2006/picture">
                  <pic:nvPicPr>
                    <pic:cNvPr id="1073741825" name="image1.jpeg" descr="Caricom-logo"/>
                    <pic:cNvPicPr>
                      <a:picLocks noChangeAspect="1"/>
                    </pic:cNvPicPr>
                  </pic:nvPicPr>
                  <pic:blipFill>
                    <a:blip r:embed="rId10">
                      <a:extLst/>
                    </a:blip>
                    <a:stretch>
                      <a:fillRect/>
                    </a:stretch>
                  </pic:blipFill>
                  <pic:spPr>
                    <a:xfrm>
                      <a:off x="0" y="0"/>
                      <a:ext cx="887095" cy="806450"/>
                    </a:xfrm>
                    <a:prstGeom prst="rect">
                      <a:avLst/>
                    </a:prstGeom>
                    <a:ln w="12700" cap="flat">
                      <a:noFill/>
                      <a:miter lim="400000"/>
                    </a:ln>
                    <a:effectLst/>
                  </pic:spPr>
                </pic:pic>
              </a:graphicData>
            </a:graphic>
          </wp:anchor>
        </w:drawing>
      </w:r>
    </w:p>
    <w:p w:rsidR="00272794" w:rsidRDefault="00272794" w:rsidP="00272794">
      <w:pPr>
        <w:pStyle w:val="BodyText"/>
        <w:ind w:left="2070"/>
        <w:rPr>
          <w:rFonts w:ascii="Book Antiqua" w:hAnsi="Book Antiqua"/>
          <w:sz w:val="28"/>
        </w:rPr>
      </w:pPr>
    </w:p>
    <w:p w:rsidR="00272794" w:rsidRDefault="00272794" w:rsidP="00272794">
      <w:pPr>
        <w:pStyle w:val="BodyText"/>
        <w:ind w:left="2070"/>
        <w:rPr>
          <w:rFonts w:ascii="Book Antiqua" w:hAnsi="Book Antiqua"/>
          <w:sz w:val="28"/>
        </w:rPr>
      </w:pPr>
    </w:p>
    <w:p w:rsidR="00272794" w:rsidRDefault="00272794" w:rsidP="00272794">
      <w:pPr>
        <w:pStyle w:val="BodyText"/>
        <w:jc w:val="center"/>
        <w:rPr>
          <w:rFonts w:ascii="Book Antiqua" w:hAnsi="Book Antiqua"/>
          <w:sz w:val="28"/>
        </w:rPr>
      </w:pPr>
    </w:p>
    <w:p w:rsidR="00272794" w:rsidRDefault="00272794" w:rsidP="00272794">
      <w:pPr>
        <w:pStyle w:val="BodyText"/>
        <w:jc w:val="center"/>
        <w:rPr>
          <w:rFonts w:ascii="Book Antiqua" w:hAnsi="Book Antiqua"/>
          <w:sz w:val="28"/>
        </w:rPr>
      </w:pPr>
      <w:r w:rsidRPr="0055168F">
        <w:rPr>
          <w:rFonts w:ascii="Book Antiqua" w:hAnsi="Book Antiqua"/>
          <w:sz w:val="28"/>
        </w:rPr>
        <w:t>PERMANENT MISSION OF JAMAICA</w:t>
      </w:r>
    </w:p>
    <w:p w:rsidR="00272794" w:rsidRDefault="00272794" w:rsidP="00272794">
      <w:pPr>
        <w:pStyle w:val="BodyText"/>
        <w:jc w:val="center"/>
        <w:rPr>
          <w:rFonts w:ascii="Book Antiqua" w:hAnsi="Book Antiqua"/>
          <w:sz w:val="28"/>
        </w:rPr>
      </w:pPr>
      <w:r w:rsidRPr="0055168F">
        <w:rPr>
          <w:rFonts w:ascii="Book Antiqua" w:hAnsi="Book Antiqua"/>
          <w:sz w:val="28"/>
        </w:rPr>
        <w:t>TO THE</w:t>
      </w:r>
      <w:r>
        <w:rPr>
          <w:rFonts w:ascii="Book Antiqua" w:hAnsi="Book Antiqua"/>
          <w:sz w:val="28"/>
        </w:rPr>
        <w:t xml:space="preserve"> </w:t>
      </w:r>
      <w:r w:rsidRPr="0055168F">
        <w:rPr>
          <w:rFonts w:ascii="Book Antiqua" w:hAnsi="Book Antiqua"/>
          <w:sz w:val="28"/>
        </w:rPr>
        <w:t>UNITED NATIONS</w:t>
      </w:r>
    </w:p>
    <w:p w:rsidR="00272794" w:rsidRDefault="00272794" w:rsidP="00272794">
      <w:pPr>
        <w:pStyle w:val="BodyText"/>
        <w:jc w:val="center"/>
        <w:rPr>
          <w:rFonts w:ascii="Book Antiqua" w:hAnsi="Book Antiqua"/>
          <w:sz w:val="28"/>
        </w:rPr>
      </w:pPr>
      <w:r>
        <w:rPr>
          <w:noProof/>
        </w:rPr>
        <mc:AlternateContent>
          <mc:Choice Requires="wpg">
            <w:drawing>
              <wp:anchor distT="0" distB="0" distL="114300" distR="114300" simplePos="0" relativeHeight="251659264" behindDoc="0" locked="0" layoutInCell="1" allowOverlap="1" wp14:anchorId="4DFB9AD7" wp14:editId="48701388">
                <wp:simplePos x="0" y="0"/>
                <wp:positionH relativeFrom="column">
                  <wp:posOffset>-1005840</wp:posOffset>
                </wp:positionH>
                <wp:positionV relativeFrom="paragraph">
                  <wp:posOffset>60325</wp:posOffset>
                </wp:positionV>
                <wp:extent cx="7932420" cy="669290"/>
                <wp:effectExtent l="13335" t="6350" r="7620"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2420" cy="669290"/>
                          <a:chOff x="-144" y="2784"/>
                          <a:chExt cx="12492" cy="1488"/>
                        </a:xfrm>
                      </wpg:grpSpPr>
                      <wps:wsp>
                        <wps:cNvPr id="3" name="Rectangle 3"/>
                        <wps:cNvSpPr>
                          <a:spLocks noChangeArrowheads="1"/>
                        </wps:cNvSpPr>
                        <wps:spPr bwMode="auto">
                          <a:xfrm>
                            <a:off x="-48" y="2784"/>
                            <a:ext cx="12396" cy="504"/>
                          </a:xfrm>
                          <a:prstGeom prst="rect">
                            <a:avLst/>
                          </a:prstGeom>
                          <a:solidFill>
                            <a:srgbClr val="1B7816"/>
                          </a:solidFill>
                          <a:ln w="9525">
                            <a:solidFill>
                              <a:srgbClr val="000000"/>
                            </a:solidFill>
                            <a:miter lim="800000"/>
                            <a:headEnd/>
                            <a:tailEnd/>
                          </a:ln>
                        </wps:spPr>
                        <wps:bodyPr rot="0" vert="horz" wrap="square" lIns="91440" tIns="45720" rIns="91440" bIns="45720" anchor="t" anchorCtr="0" upright="1">
                          <a:noAutofit/>
                        </wps:bodyPr>
                      </wps:wsp>
                      <wps:wsp>
                        <wps:cNvPr id="4" name="Rectangle 4"/>
                        <wps:cNvSpPr>
                          <a:spLocks noChangeArrowheads="1"/>
                        </wps:cNvSpPr>
                        <wps:spPr bwMode="auto">
                          <a:xfrm>
                            <a:off x="-144" y="3288"/>
                            <a:ext cx="12396" cy="504"/>
                          </a:xfrm>
                          <a:prstGeom prst="rect">
                            <a:avLst/>
                          </a:prstGeom>
                          <a:solidFill>
                            <a:srgbClr val="F8E928"/>
                          </a:solidFill>
                          <a:ln w="9525">
                            <a:solidFill>
                              <a:srgbClr val="000000"/>
                            </a:solidFill>
                            <a:miter lim="800000"/>
                            <a:headEnd/>
                            <a:tailEnd/>
                          </a:ln>
                        </wps:spPr>
                        <wps:bodyPr rot="0" vert="horz" wrap="square" lIns="91440" tIns="45720" rIns="91440" bIns="45720" anchor="t" anchorCtr="0" upright="1">
                          <a:noAutofit/>
                        </wps:bodyPr>
                      </wps:wsp>
                      <wps:wsp>
                        <wps:cNvPr id="5" name="Rectangle 5"/>
                        <wps:cNvSpPr>
                          <a:spLocks noChangeArrowheads="1"/>
                        </wps:cNvSpPr>
                        <wps:spPr bwMode="auto">
                          <a:xfrm>
                            <a:off x="-48" y="3768"/>
                            <a:ext cx="12396" cy="504"/>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9.2pt;margin-top:4.75pt;width:624.6pt;height:52.7pt;z-index:251659264" coordorigin="-144,2784" coordsize="12492,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">
                <v:rect id="Rectangle 3" o:spid="_x0000_s1027" style="position:absolute;left:-48;top:2784;width:1239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VMIA&#10;AADaAAAADwAAAGRycy9kb3ducmV2LnhtbESPW4vCMBSE3wX/QziCb5rqwrJWo4ggq7DCegFfD82x&#10;rTYnpUkv++83guDjMDPfMItVZwrRUOVyywom4wgEcWJ1zqmCy3k7+gLhPLLGwjIp+CMHq2W/t8BY&#10;25aP1Jx8KgKEXYwKMu/LWEqXZGTQjW1JHLybrQz6IKtU6grbADeFnEbRpzSYc1jIsKRNRsnjVJtA&#10;ubp1NNvVj9mh3v98N0l7P+S/Sg0H3XoOwlPn3+FXe6cVfMDzSrg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gE1UwgAAANoAAAAPAAAAAAAAAAAAAAAAAJgCAABkcnMvZG93&#10;bnJldi54bWxQSwUGAAAAAAQABAD1AAAAhwMAAAAA&#10;" fillcolor="#1b7816"/>
                <v:rect id="Rectangle 4" o:spid="_x0000_s1028" style="position:absolute;left:-144;top:3288;width:1239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RRMQA&#10;AADaAAAADwAAAGRycy9kb3ducmV2LnhtbESPQWvCQBSE70L/w/IKvelGKW2IrkGUFg/SovXg8Zl9&#10;TTbNvg3ZVdP+elcQehxm5htmlve2EWfqvHGsYDxKQBAXThsuFey/3oYpCB+QNTaOScEvecjnD4MZ&#10;ZtpdeEvnXShFhLDPUEEVQptJ6YuKLPqRa4mj9+06iyHKrpS6w0uE20ZOkuRFWjQcFypsaVlR8bM7&#10;WQXltsZPvTTHv80qvKbm/aM+yJNST4/9YgoiUB/+w/f2Wit4htuVe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T0UTEAAAA2gAAAA8AAAAAAAAAAAAAAAAAmAIAAGRycy9k&#10;b3ducmV2LnhtbFBLBQYAAAAABAAEAPUAAACJAwAAAAA=&#10;" fillcolor="#f8e928"/>
                <v:rect id="Rectangle 5" o:spid="_x0000_s1029" style="position:absolute;left:-48;top:3768;width:1239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V+8cQA&#10;AADaAAAADwAAAGRycy9kb3ducmV2LnhtbESPzW7CMBCE70h9B2sr9dY4tFCVEAcBKj+HXhp4gFW8&#10;TaLG6zR2k/D2GKkSx9HMfKNJV6NpRE+dqy0rmEYxCOLC6ppLBefT7vkdhPPIGhvLpOBCDlbZwyTF&#10;RNuBv6jPfSkChF2CCirv20RKV1Rk0EW2JQ7et+0M+iC7UuoOhwA3jXyJ4zdpsOawUGFL24qKn/zP&#10;KJD5bOg/hoXbbA+L6WZ9ft1//rJST4/jegnC0+jv4f/2USuYw+1KuAE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VfvHEAAAA2gAAAA8AAAAAAAAAAAAAAAAAmAIAAGRycy9k&#10;b3ducmV2LnhtbFBLBQYAAAAABAAEAPUAAACJAwAAAAA=&#10;" fillcolor="black [3213]"/>
              </v:group>
            </w:pict>
          </mc:Fallback>
        </mc:AlternateContent>
      </w:r>
    </w:p>
    <w:p w:rsidR="00272794" w:rsidRDefault="00272794" w:rsidP="00272794">
      <w:pPr>
        <w:pStyle w:val="BodyText"/>
        <w:jc w:val="center"/>
      </w:pPr>
    </w:p>
    <w:p w:rsidR="00272794" w:rsidRDefault="00272794" w:rsidP="00272794">
      <w:pPr>
        <w:pStyle w:val="BodyText"/>
        <w:jc w:val="center"/>
      </w:pPr>
    </w:p>
    <w:p w:rsidR="00272794" w:rsidRPr="00561648" w:rsidRDefault="00272794" w:rsidP="00272794">
      <w:pPr>
        <w:pStyle w:val="BodyText"/>
        <w:jc w:val="center"/>
        <w:rPr>
          <w:rFonts w:ascii="Book Antiqua" w:hAnsi="Book Antiqua"/>
        </w:rPr>
      </w:pPr>
    </w:p>
    <w:p w:rsidR="00272794" w:rsidRPr="00561648" w:rsidRDefault="00272794" w:rsidP="00272794">
      <w:pPr>
        <w:pStyle w:val="BodyText"/>
        <w:jc w:val="center"/>
        <w:rPr>
          <w:rFonts w:ascii="Book Antiqua" w:hAnsi="Book Antiqua"/>
        </w:rPr>
      </w:pPr>
    </w:p>
    <w:p w:rsidR="00272794" w:rsidRDefault="00272794" w:rsidP="00272794">
      <w:pPr>
        <w:jc w:val="center"/>
        <w:rPr>
          <w:b/>
          <w:sz w:val="26"/>
          <w:szCs w:val="26"/>
        </w:rPr>
      </w:pPr>
    </w:p>
    <w:p w:rsidR="00272794" w:rsidRDefault="00272794" w:rsidP="00272794">
      <w:pPr>
        <w:jc w:val="center"/>
        <w:rPr>
          <w:rFonts w:ascii="Book Antiqua" w:hAnsi="Book Antiqua"/>
          <w:b/>
        </w:rPr>
      </w:pPr>
    </w:p>
    <w:p w:rsidR="00272794" w:rsidRPr="00DB076C" w:rsidRDefault="00272794" w:rsidP="00272794">
      <w:pPr>
        <w:jc w:val="center"/>
        <w:rPr>
          <w:rFonts w:ascii="Book Antiqua" w:hAnsi="Book Antiqua"/>
          <w:b/>
        </w:rPr>
      </w:pPr>
      <w:r w:rsidRPr="00DB076C">
        <w:rPr>
          <w:rFonts w:ascii="Book Antiqua" w:hAnsi="Book Antiqua"/>
          <w:b/>
        </w:rPr>
        <w:t>STATEMENT BY</w:t>
      </w:r>
    </w:p>
    <w:p w:rsidR="00272794" w:rsidRPr="00DB076C" w:rsidRDefault="00272794" w:rsidP="00272794">
      <w:pPr>
        <w:jc w:val="center"/>
        <w:rPr>
          <w:rFonts w:ascii="Book Antiqua" w:hAnsi="Book Antiqua"/>
          <w:b/>
        </w:rPr>
      </w:pPr>
    </w:p>
    <w:p w:rsidR="00272794" w:rsidRPr="00DB076C" w:rsidRDefault="00272794" w:rsidP="00272794">
      <w:pPr>
        <w:jc w:val="center"/>
        <w:rPr>
          <w:rFonts w:ascii="Book Antiqua" w:hAnsi="Book Antiqua"/>
          <w:b/>
        </w:rPr>
      </w:pPr>
      <w:r w:rsidRPr="00DB076C">
        <w:rPr>
          <w:rFonts w:ascii="Book Antiqua" w:hAnsi="Book Antiqua"/>
          <w:b/>
        </w:rPr>
        <w:t>MRS. DIEDRE MILLS</w:t>
      </w:r>
    </w:p>
    <w:p w:rsidR="00272794" w:rsidRPr="00DB076C" w:rsidRDefault="00272794" w:rsidP="00272794">
      <w:pPr>
        <w:jc w:val="center"/>
        <w:rPr>
          <w:rFonts w:ascii="Book Antiqua" w:hAnsi="Book Antiqua"/>
          <w:b/>
        </w:rPr>
      </w:pPr>
      <w:r w:rsidRPr="00DB076C">
        <w:rPr>
          <w:rFonts w:ascii="Book Antiqua" w:hAnsi="Book Antiqua"/>
          <w:b/>
        </w:rPr>
        <w:t>DEPUTY PERMANENT REPRESENTATIVE</w:t>
      </w:r>
      <w:r>
        <w:rPr>
          <w:rFonts w:ascii="Book Antiqua" w:hAnsi="Book Antiqua"/>
          <w:b/>
        </w:rPr>
        <w:t xml:space="preserve"> </w:t>
      </w:r>
    </w:p>
    <w:p w:rsidR="00272794" w:rsidRPr="00DB076C" w:rsidRDefault="00272794" w:rsidP="00272794">
      <w:pPr>
        <w:jc w:val="center"/>
        <w:rPr>
          <w:rFonts w:ascii="Book Antiqua" w:hAnsi="Book Antiqua"/>
          <w:b/>
        </w:rPr>
      </w:pPr>
      <w:r w:rsidRPr="00DB076C">
        <w:rPr>
          <w:rFonts w:ascii="Book Antiqua" w:hAnsi="Book Antiqua"/>
          <w:b/>
        </w:rPr>
        <w:t>JAMAIC</w:t>
      </w:r>
      <w:r>
        <w:rPr>
          <w:rFonts w:ascii="Book Antiqua" w:hAnsi="Book Antiqua"/>
          <w:b/>
        </w:rPr>
        <w:t>A</w:t>
      </w:r>
      <w:r w:rsidRPr="00DB076C">
        <w:rPr>
          <w:rFonts w:ascii="Book Antiqua" w:hAnsi="Book Antiqua"/>
          <w:b/>
        </w:rPr>
        <w:t xml:space="preserve"> </w:t>
      </w:r>
    </w:p>
    <w:p w:rsidR="00272794" w:rsidRDefault="00272794" w:rsidP="00272794">
      <w:pPr>
        <w:jc w:val="center"/>
        <w:rPr>
          <w:rFonts w:ascii="Book Antiqua" w:hAnsi="Book Antiqua"/>
          <w:b/>
        </w:rPr>
      </w:pPr>
    </w:p>
    <w:p w:rsidR="00417C5A" w:rsidRDefault="00417C5A" w:rsidP="00272794">
      <w:pPr>
        <w:jc w:val="center"/>
        <w:rPr>
          <w:rFonts w:ascii="Book Antiqua" w:hAnsi="Book Antiqua"/>
          <w:b/>
        </w:rPr>
      </w:pPr>
      <w:r>
        <w:rPr>
          <w:rFonts w:ascii="Book Antiqua" w:hAnsi="Book Antiqua"/>
          <w:b/>
        </w:rPr>
        <w:t>ON BEHALF OF THE CARIBBEAN COMMUNITY</w:t>
      </w:r>
      <w:r w:rsidR="00EE2EB4">
        <w:rPr>
          <w:rFonts w:ascii="Book Antiqua" w:hAnsi="Book Antiqua"/>
          <w:b/>
        </w:rPr>
        <w:t xml:space="preserve"> (CARICOM)</w:t>
      </w:r>
    </w:p>
    <w:p w:rsidR="00181992" w:rsidRDefault="00181992" w:rsidP="00272794">
      <w:pPr>
        <w:jc w:val="center"/>
        <w:rPr>
          <w:rFonts w:ascii="Book Antiqua" w:hAnsi="Book Antiqua"/>
          <w:b/>
        </w:rPr>
      </w:pPr>
    </w:p>
    <w:p w:rsidR="00181992" w:rsidRPr="00DB076C" w:rsidRDefault="00181992" w:rsidP="00272794">
      <w:pPr>
        <w:jc w:val="center"/>
        <w:rPr>
          <w:rFonts w:ascii="Book Antiqua" w:hAnsi="Book Antiqua"/>
          <w:b/>
        </w:rPr>
      </w:pPr>
      <w:r>
        <w:rPr>
          <w:rFonts w:ascii="Book Antiqua" w:hAnsi="Book Antiqua"/>
          <w:b/>
        </w:rPr>
        <w:t>ON CROSS-CUTTING ISSUES</w:t>
      </w:r>
      <w:r w:rsidR="00A531DC">
        <w:rPr>
          <w:rFonts w:ascii="Book Antiqua" w:hAnsi="Book Antiqua"/>
          <w:b/>
        </w:rPr>
        <w:t xml:space="preserve"> (PLENARY)</w:t>
      </w:r>
    </w:p>
    <w:p w:rsidR="00272794" w:rsidRDefault="00272794" w:rsidP="00272794">
      <w:pPr>
        <w:jc w:val="center"/>
        <w:rPr>
          <w:rFonts w:ascii="Book Antiqua" w:hAnsi="Book Antiqua"/>
          <w:b/>
        </w:rPr>
      </w:pPr>
    </w:p>
    <w:p w:rsidR="00272794" w:rsidRDefault="00272794" w:rsidP="00272794">
      <w:pPr>
        <w:jc w:val="center"/>
        <w:rPr>
          <w:rFonts w:ascii="Book Antiqua" w:hAnsi="Book Antiqua"/>
          <w:b/>
        </w:rPr>
      </w:pPr>
      <w:r>
        <w:rPr>
          <w:rFonts w:ascii="Book Antiqua" w:hAnsi="Book Antiqua"/>
          <w:b/>
        </w:rPr>
        <w:t>AT THE</w:t>
      </w:r>
    </w:p>
    <w:p w:rsidR="00272794" w:rsidRDefault="00272794" w:rsidP="00272794">
      <w:pPr>
        <w:jc w:val="center"/>
        <w:rPr>
          <w:rFonts w:ascii="Book Antiqua" w:hAnsi="Book Antiqua"/>
          <w:b/>
        </w:rPr>
      </w:pPr>
    </w:p>
    <w:p w:rsidR="00272794" w:rsidRDefault="00272794" w:rsidP="00272794">
      <w:pPr>
        <w:jc w:val="center"/>
        <w:rPr>
          <w:b/>
        </w:rPr>
      </w:pPr>
      <w:r w:rsidRPr="00DB076C">
        <w:rPr>
          <w:b/>
        </w:rPr>
        <w:t>PREPARATORY COMMITTEE ESTABLLISHED BY</w:t>
      </w:r>
      <w:r>
        <w:rPr>
          <w:b/>
        </w:rPr>
        <w:t xml:space="preserve"> </w:t>
      </w:r>
      <w:r w:rsidRPr="00DB076C">
        <w:rPr>
          <w:b/>
        </w:rPr>
        <w:t>GENERAL ASS</w:t>
      </w:r>
      <w:r>
        <w:rPr>
          <w:b/>
        </w:rPr>
        <w:t>EMBLY RESOLUTION 69/292: DEVELOPMENT OF AN INTERNATIONAL LEGALLY BINDING INSTRUMENT UNDER THE UNITED NATIONS CONVENTION ON</w:t>
      </w:r>
    </w:p>
    <w:p w:rsidR="00272794" w:rsidRDefault="00272794" w:rsidP="00272794">
      <w:pPr>
        <w:jc w:val="center"/>
        <w:rPr>
          <w:b/>
        </w:rPr>
      </w:pPr>
      <w:r>
        <w:rPr>
          <w:b/>
        </w:rPr>
        <w:t>THE LAW OF THE SEA ON THE CONSERVATION AND SUSTAINABLE USE</w:t>
      </w:r>
    </w:p>
    <w:p w:rsidR="00272794" w:rsidRDefault="00272794" w:rsidP="00272794">
      <w:pPr>
        <w:jc w:val="center"/>
        <w:rPr>
          <w:b/>
        </w:rPr>
      </w:pPr>
      <w:r>
        <w:rPr>
          <w:b/>
        </w:rPr>
        <w:t xml:space="preserve">OF MARINE BIOLOGICAL DIVERSITY OF AREAS BEYOND NATIONAL JURISDICTION (BBNJ) – </w:t>
      </w:r>
      <w:r w:rsidR="00417C5A">
        <w:rPr>
          <w:b/>
        </w:rPr>
        <w:t>THIRD</w:t>
      </w:r>
      <w:r>
        <w:rPr>
          <w:b/>
        </w:rPr>
        <w:t xml:space="preserve"> SESSION</w:t>
      </w:r>
      <w:r w:rsidR="009E547A">
        <w:rPr>
          <w:b/>
        </w:rPr>
        <w:t xml:space="preserve">, </w:t>
      </w:r>
      <w:r w:rsidR="002136BA">
        <w:rPr>
          <w:b/>
        </w:rPr>
        <w:t>6</w:t>
      </w:r>
      <w:r w:rsidR="009E547A" w:rsidRPr="009E547A">
        <w:rPr>
          <w:b/>
          <w:vertAlign w:val="superscript"/>
        </w:rPr>
        <w:t>th</w:t>
      </w:r>
      <w:r w:rsidR="009E547A">
        <w:rPr>
          <w:b/>
        </w:rPr>
        <w:t xml:space="preserve"> APRIL, 2017</w:t>
      </w:r>
    </w:p>
    <w:p w:rsidR="008A3E1B" w:rsidRDefault="008A3E1B" w:rsidP="00272794">
      <w:pPr>
        <w:jc w:val="center"/>
        <w:rPr>
          <w:b/>
        </w:rPr>
      </w:pPr>
    </w:p>
    <w:p w:rsidR="008A3E1B" w:rsidRDefault="008A3E1B" w:rsidP="00272794">
      <w:pPr>
        <w:jc w:val="center"/>
        <w:rPr>
          <w:b/>
        </w:rPr>
      </w:pPr>
    </w:p>
    <w:p w:rsidR="008A3E1B" w:rsidRDefault="008A3E1B" w:rsidP="00272794">
      <w:pPr>
        <w:jc w:val="center"/>
        <w:rPr>
          <w:b/>
        </w:rPr>
      </w:pPr>
    </w:p>
    <w:p w:rsidR="00F770C9" w:rsidRDefault="00F770C9" w:rsidP="00272794">
      <w:pPr>
        <w:jc w:val="center"/>
        <w:rPr>
          <w:b/>
        </w:rPr>
      </w:pPr>
    </w:p>
    <w:p w:rsidR="00272794" w:rsidRPr="00DB076C" w:rsidRDefault="00272794" w:rsidP="00272794">
      <w:pPr>
        <w:jc w:val="center"/>
        <w:rPr>
          <w:rFonts w:ascii="Book Antiqua" w:hAnsi="Book Antiqua"/>
          <w:b/>
        </w:rPr>
      </w:pPr>
      <w:r w:rsidRPr="00DB076C">
        <w:rPr>
          <w:rFonts w:ascii="Book Antiqua" w:hAnsi="Book Antiqua"/>
          <w:b/>
        </w:rPr>
        <w:t>UNITED NATIONS, NEW YORK</w:t>
      </w:r>
    </w:p>
    <w:p w:rsidR="00272794" w:rsidRDefault="00272794" w:rsidP="00272794">
      <w:pPr>
        <w:jc w:val="center"/>
        <w:rPr>
          <w:rFonts w:ascii="Book Antiqua" w:hAnsi="Book Antiqua"/>
          <w:b/>
          <w:sz w:val="28"/>
          <w:szCs w:val="28"/>
        </w:rPr>
      </w:pPr>
    </w:p>
    <w:p w:rsidR="00272794" w:rsidRDefault="00272794" w:rsidP="00272794">
      <w:pPr>
        <w:jc w:val="center"/>
        <w:rPr>
          <w:rFonts w:ascii="Book Antiqua" w:hAnsi="Book Antiqua"/>
          <w:b/>
          <w:sz w:val="28"/>
          <w:szCs w:val="28"/>
        </w:rPr>
      </w:pPr>
    </w:p>
    <w:p w:rsidR="00272794" w:rsidRDefault="00272794" w:rsidP="00272794">
      <w:pPr>
        <w:jc w:val="center"/>
        <w:rPr>
          <w:rFonts w:ascii="Book Antiqua" w:hAnsi="Book Antiqua"/>
          <w:b/>
          <w:sz w:val="28"/>
          <w:szCs w:val="28"/>
        </w:rPr>
      </w:pPr>
    </w:p>
    <w:p w:rsidR="00A74205" w:rsidRDefault="00272794" w:rsidP="00A74205">
      <w:pPr>
        <w:spacing w:line="360" w:lineRule="auto"/>
        <w:jc w:val="both"/>
      </w:pPr>
      <w:r>
        <w:rPr>
          <w:rFonts w:ascii="Book Antiqua" w:hAnsi="Book Antiqua"/>
          <w:b/>
          <w:sz w:val="28"/>
          <w:szCs w:val="28"/>
        </w:rPr>
        <w:br w:type="page"/>
      </w:r>
      <w:r w:rsidR="00A74205">
        <w:lastRenderedPageBreak/>
        <w:t>Mr</w:t>
      </w:r>
      <w:r w:rsidR="00A531DC">
        <w:t>.</w:t>
      </w:r>
      <w:r w:rsidR="00A74205">
        <w:t xml:space="preserve"> Chair,</w:t>
      </w:r>
    </w:p>
    <w:p w:rsidR="00A74205" w:rsidRDefault="00A74205" w:rsidP="00A74205">
      <w:pPr>
        <w:spacing w:line="360" w:lineRule="auto"/>
        <w:jc w:val="both"/>
      </w:pPr>
    </w:p>
    <w:p w:rsidR="00A74205" w:rsidRDefault="00A74205" w:rsidP="00A74205">
      <w:pPr>
        <w:spacing w:line="360" w:lineRule="auto"/>
        <w:jc w:val="both"/>
      </w:pPr>
      <w:r>
        <w:t>Thank you for giving me the floor to offer CARICOM’s perspective on some of the cross</w:t>
      </w:r>
      <w:r w:rsidR="00A531DC">
        <w:t>-c</w:t>
      </w:r>
      <w:r>
        <w:t xml:space="preserve">utting issues before us for this Third </w:t>
      </w:r>
      <w:proofErr w:type="spellStart"/>
      <w:r>
        <w:t>PrepCom</w:t>
      </w:r>
      <w:proofErr w:type="spellEnd"/>
      <w:r>
        <w:t>. Thank you also for the oral report that you provided, which offers a very useful overview of the rich discussions that we had during the informal working group on cross-cutting issues. In keeping with the questions that you have raised, CARICOM would wish to note the following:</w:t>
      </w:r>
    </w:p>
    <w:p w:rsidR="00A74205" w:rsidRDefault="00A74205" w:rsidP="00A74205">
      <w:pPr>
        <w:spacing w:line="360" w:lineRule="auto"/>
        <w:jc w:val="both"/>
      </w:pPr>
    </w:p>
    <w:p w:rsidR="00A74205" w:rsidRDefault="00A74205" w:rsidP="00A74205">
      <w:pPr>
        <w:spacing w:line="360" w:lineRule="auto"/>
        <w:jc w:val="both"/>
      </w:pPr>
      <w:r>
        <w:t xml:space="preserve">1. There could be merit in having the committees that have been isolated for our consideration i.e. a capacity-building and transfer of technology committee; a monitoring, review and compliance committee; and regional scientific committees but such a determination will have to be made with the benefit of further deliberations and analyses of existing mechanisms. As we have stated in previous interventions, we would wish to ensure that the framework which is put in place allows for the application of a common criteria or standards and a corresponding decision-making body empowered to effectively ensure the implementation of the IA. </w:t>
      </w:r>
    </w:p>
    <w:p w:rsidR="00A74205" w:rsidRDefault="00A74205" w:rsidP="00A74205">
      <w:pPr>
        <w:spacing w:line="360" w:lineRule="auto"/>
        <w:jc w:val="both"/>
      </w:pPr>
    </w:p>
    <w:p w:rsidR="00A74205" w:rsidRDefault="00A74205" w:rsidP="00A74205">
      <w:pPr>
        <w:spacing w:line="360" w:lineRule="auto"/>
        <w:jc w:val="both"/>
      </w:pPr>
      <w:r>
        <w:t xml:space="preserve">2. On the matter of the levels at which review and monitoring of the implementation of an instrument can be carried and what mechanisms may be needed, CARICOM believes that this would be at the international regional and national levels. This could be done through </w:t>
      </w:r>
      <w:r w:rsidR="00A531DC">
        <w:t xml:space="preserve">a </w:t>
      </w:r>
      <w:r>
        <w:t xml:space="preserve">periodic review of the status of implementation of the Agreement through a meeting of </w:t>
      </w:r>
      <w:r w:rsidR="00A531DC">
        <w:t xml:space="preserve">a </w:t>
      </w:r>
      <w:r>
        <w:t xml:space="preserve">COP </w:t>
      </w:r>
      <w:r w:rsidR="00A531DC">
        <w:t xml:space="preserve">that is </w:t>
      </w:r>
      <w:r>
        <w:t>informed by substantive inputs received from a specifically mandated committee.</w:t>
      </w:r>
    </w:p>
    <w:p w:rsidR="00A74205" w:rsidRDefault="00A74205" w:rsidP="00A74205">
      <w:pPr>
        <w:spacing w:line="360" w:lineRule="auto"/>
        <w:jc w:val="both"/>
      </w:pPr>
    </w:p>
    <w:p w:rsidR="00A74205" w:rsidRDefault="00A74205" w:rsidP="00A74205">
      <w:pPr>
        <w:spacing w:line="360" w:lineRule="auto"/>
        <w:jc w:val="both"/>
      </w:pPr>
      <w:r>
        <w:t xml:space="preserve">3. Regarding the issue of ensuring compliance and the mechanisms that may be contemplated in this regard, CARICOM believes that this could be the focus of a specifically mandated body, with scope to provide both facilitative and punitive measures, duly confirmed by the COP, with prospects for fast-tracked decisions to be taken depending on the urgency or gravity of non-compliance. As previously noted, </w:t>
      </w:r>
      <w:r w:rsidR="00A531DC">
        <w:t xml:space="preserve">for the purposes of the IA, </w:t>
      </w:r>
      <w:r>
        <w:t>un</w:t>
      </w:r>
      <w:r w:rsidR="00A531DC">
        <w:t xml:space="preserve">iversal participation would be </w:t>
      </w:r>
      <w:bookmarkStart w:id="0" w:name="_GoBack"/>
      <w:bookmarkEnd w:id="0"/>
      <w:r>
        <w:t>sought and participation open to all, whether Parties to UNCLOS or not.</w:t>
      </w:r>
    </w:p>
    <w:p w:rsidR="00A74205" w:rsidRDefault="00A74205" w:rsidP="00A74205">
      <w:pPr>
        <w:spacing w:line="360" w:lineRule="auto"/>
        <w:jc w:val="both"/>
      </w:pPr>
    </w:p>
    <w:p w:rsidR="00A74205" w:rsidRDefault="00A74205" w:rsidP="00A74205">
      <w:pPr>
        <w:spacing w:line="360" w:lineRule="auto"/>
        <w:jc w:val="both"/>
      </w:pPr>
      <w:r>
        <w:t xml:space="preserve">4. CARICOM is of the view that the issue of liability for damage to marine biodiversity of areas beyond national jurisdiction will be critical to the IA. For this reason, we see value in the </w:t>
      </w:r>
      <w:r>
        <w:lastRenderedPageBreak/>
        <w:t xml:space="preserve">Agreement being underpinned by a number of key principles and approaches to which we have made reference in the past. In this specific context and without prejudice to CARICOM's ongoing reflection on the question of liability, we would wish to </w:t>
      </w:r>
      <w:r w:rsidR="00A531DC">
        <w:t>reiterate</w:t>
      </w:r>
      <w:r>
        <w:t xml:space="preserve"> the importance that we attach to the polluter pays principle as well as the precautionary approach. We would also want to ensure that existing provisions in international law for damage or loss are duly taken into account </w:t>
      </w:r>
      <w:r w:rsidR="00A531DC">
        <w:t xml:space="preserve">in order </w:t>
      </w:r>
      <w:r>
        <w:t xml:space="preserve">to inform the future IA. </w:t>
      </w:r>
    </w:p>
    <w:p w:rsidR="00A74205" w:rsidRDefault="00A74205" w:rsidP="00A74205">
      <w:pPr>
        <w:spacing w:line="360" w:lineRule="auto"/>
        <w:jc w:val="both"/>
      </w:pPr>
    </w:p>
    <w:p w:rsidR="00A74205" w:rsidRDefault="00A74205" w:rsidP="00A74205">
      <w:pPr>
        <w:spacing w:line="360" w:lineRule="auto"/>
        <w:jc w:val="both"/>
      </w:pPr>
      <w:r>
        <w:t xml:space="preserve">5. With respect to dispute settlement procedures under an international instrument, I wish to reiterate the points </w:t>
      </w:r>
      <w:proofErr w:type="gramStart"/>
      <w:r>
        <w:t>raised</w:t>
      </w:r>
      <w:proofErr w:type="gramEnd"/>
      <w:r>
        <w:t xml:space="preserve"> in the informal working group earlier this week that the UN Fish Stocks Agreement provides very useful guidance in this regard, given the very comprehensive terms it outlines through its dispute settlement provisions, most notably Articles 27 to 32. We believe that these provisions could be modified to cover the objec</w:t>
      </w:r>
      <w:r w:rsidR="00A531DC">
        <w:t>t of the Implementing Agreement, namely the</w:t>
      </w:r>
      <w:r>
        <w:t xml:space="preserve"> conservation and sustainable use of marine biodiversity of areas beyond national jurisdiction. On the specific question of who would be able to access dispute settlement provisions, we believe that Article 1 (2 &amp; 3) of the UNFSA could be useful </w:t>
      </w:r>
      <w:r w:rsidR="00A531DC">
        <w:t xml:space="preserve">given its definition of </w:t>
      </w:r>
      <w:r>
        <w:t>'states parties' to the Agreement.</w:t>
      </w:r>
    </w:p>
    <w:p w:rsidR="00A74205" w:rsidRDefault="00A74205" w:rsidP="00A74205">
      <w:pPr>
        <w:spacing w:line="360" w:lineRule="auto"/>
        <w:jc w:val="both"/>
      </w:pPr>
    </w:p>
    <w:p w:rsidR="00A74205" w:rsidRDefault="00A74205" w:rsidP="00A74205">
      <w:pPr>
        <w:spacing w:line="360" w:lineRule="auto"/>
        <w:jc w:val="both"/>
      </w:pPr>
      <w:r>
        <w:t xml:space="preserve">6. Finally, Mr. Chair, our understanding of the term "not undermining" relevant legal instruments and frameworks and relevant global, regional and </w:t>
      </w:r>
      <w:proofErr w:type="spellStart"/>
      <w:r>
        <w:t>sectoral</w:t>
      </w:r>
      <w:proofErr w:type="spellEnd"/>
      <w:r>
        <w:t xml:space="preserve"> bodies, is informed by the notion that the IA would not seek to duplicate or dictate the mandates for such bodies or entities. Rather, it would seek to bring coherence to and coordinate a global framework, based on existing institutions and best practices, while allowing for greater connectivity amongst the entities involved. For legal instruments, the focus would be on bringing even greater clarity to existing norms and addressing legal gaps wherever they exist, for the purpose of ensuring that our broader </w:t>
      </w:r>
      <w:r w:rsidR="00A531DC">
        <w:t xml:space="preserve">objective of the </w:t>
      </w:r>
      <w:r>
        <w:t xml:space="preserve">conservation and sustainable use </w:t>
      </w:r>
      <w:r w:rsidR="00A531DC">
        <w:t>of marine biodiversity is</w:t>
      </w:r>
      <w:r>
        <w:t xml:space="preserve"> realized. </w:t>
      </w:r>
    </w:p>
    <w:p w:rsidR="00A531DC" w:rsidRDefault="00A531DC" w:rsidP="00A74205">
      <w:pPr>
        <w:spacing w:line="360" w:lineRule="auto"/>
        <w:jc w:val="both"/>
      </w:pPr>
    </w:p>
    <w:p w:rsidR="00A531DC" w:rsidRDefault="00A531DC" w:rsidP="00A74205">
      <w:pPr>
        <w:spacing w:line="360" w:lineRule="auto"/>
        <w:jc w:val="both"/>
      </w:pPr>
      <w:r>
        <w:t>7. Once again, Mr. Chair, the above comments are offered without prejudice to our further reflection and consideration of the issues.</w:t>
      </w:r>
    </w:p>
    <w:p w:rsidR="00A531DC" w:rsidRDefault="00A531DC" w:rsidP="00A74205">
      <w:pPr>
        <w:spacing w:line="360" w:lineRule="auto"/>
        <w:jc w:val="both"/>
      </w:pPr>
    </w:p>
    <w:p w:rsidR="00A74205" w:rsidRDefault="00A531DC" w:rsidP="00A531DC">
      <w:pPr>
        <w:spacing w:line="360" w:lineRule="auto"/>
        <w:jc w:val="both"/>
      </w:pPr>
      <w:r>
        <w:t>I thank you.</w:t>
      </w:r>
    </w:p>
    <w:p w:rsidR="00A1089E" w:rsidRDefault="00A1089E" w:rsidP="00A1089E">
      <w:pPr>
        <w:pStyle w:val="NormalWeb"/>
        <w:spacing w:before="0" w:beforeAutospacing="0" w:after="0" w:afterAutospacing="0" w:line="360" w:lineRule="auto"/>
        <w:jc w:val="both"/>
        <w:rPr>
          <w:rFonts w:ascii="Book Antiqua" w:hAnsi="Book Antiqua"/>
          <w:b/>
          <w:sz w:val="28"/>
          <w:szCs w:val="28"/>
        </w:rPr>
      </w:pPr>
    </w:p>
    <w:sectPr w:rsidR="00A1089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AF4" w:rsidRDefault="00520AF4" w:rsidP="00181992">
      <w:r>
        <w:separator/>
      </w:r>
    </w:p>
  </w:endnote>
  <w:endnote w:type="continuationSeparator" w:id="0">
    <w:p w:rsidR="00520AF4" w:rsidRDefault="00520AF4" w:rsidP="0018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mber-N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543210"/>
      <w:docPartObj>
        <w:docPartGallery w:val="Page Numbers (Bottom of Page)"/>
        <w:docPartUnique/>
      </w:docPartObj>
    </w:sdtPr>
    <w:sdtEndPr>
      <w:rPr>
        <w:noProof/>
      </w:rPr>
    </w:sdtEndPr>
    <w:sdtContent>
      <w:p w:rsidR="00181992" w:rsidRDefault="00181992">
        <w:pPr>
          <w:pStyle w:val="Footer"/>
          <w:jc w:val="right"/>
        </w:pPr>
        <w:r>
          <w:fldChar w:fldCharType="begin"/>
        </w:r>
        <w:r>
          <w:instrText xml:space="preserve"> PAGE   \* MERGEFORMAT </w:instrText>
        </w:r>
        <w:r>
          <w:fldChar w:fldCharType="separate"/>
        </w:r>
        <w:r w:rsidR="00A531DC">
          <w:rPr>
            <w:noProof/>
          </w:rPr>
          <w:t>1</w:t>
        </w:r>
        <w:r>
          <w:rPr>
            <w:noProof/>
          </w:rPr>
          <w:fldChar w:fldCharType="end"/>
        </w:r>
      </w:p>
    </w:sdtContent>
  </w:sdt>
  <w:p w:rsidR="00181992" w:rsidRDefault="00181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AF4" w:rsidRDefault="00520AF4" w:rsidP="00181992">
      <w:r>
        <w:separator/>
      </w:r>
    </w:p>
  </w:footnote>
  <w:footnote w:type="continuationSeparator" w:id="0">
    <w:p w:rsidR="00520AF4" w:rsidRDefault="00520AF4" w:rsidP="00181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3003"/>
    <w:multiLevelType w:val="hybridMultilevel"/>
    <w:tmpl w:val="4E0225A8"/>
    <w:lvl w:ilvl="0" w:tplc="171263CA">
      <w:start w:val="1"/>
      <w:numFmt w:val="bullet"/>
      <w:lvlText w:val="•"/>
      <w:lvlJc w:val="left"/>
      <w:pPr>
        <w:tabs>
          <w:tab w:val="num" w:pos="720"/>
        </w:tabs>
        <w:ind w:left="720" w:hanging="360"/>
      </w:pPr>
      <w:rPr>
        <w:rFonts w:ascii="Arial" w:hAnsi="Arial" w:cs="Times New Roman" w:hint="default"/>
      </w:rPr>
    </w:lvl>
    <w:lvl w:ilvl="1" w:tplc="BA5846BE">
      <w:start w:val="1"/>
      <w:numFmt w:val="bullet"/>
      <w:lvlText w:val="•"/>
      <w:lvlJc w:val="left"/>
      <w:pPr>
        <w:tabs>
          <w:tab w:val="num" w:pos="1440"/>
        </w:tabs>
        <w:ind w:left="1440" w:hanging="360"/>
      </w:pPr>
      <w:rPr>
        <w:rFonts w:ascii="Arial" w:hAnsi="Arial" w:cs="Times New Roman" w:hint="default"/>
      </w:rPr>
    </w:lvl>
    <w:lvl w:ilvl="2" w:tplc="7E06281C">
      <w:start w:val="1"/>
      <w:numFmt w:val="bullet"/>
      <w:lvlText w:val="•"/>
      <w:lvlJc w:val="left"/>
      <w:pPr>
        <w:tabs>
          <w:tab w:val="num" w:pos="2160"/>
        </w:tabs>
        <w:ind w:left="2160" w:hanging="360"/>
      </w:pPr>
      <w:rPr>
        <w:rFonts w:ascii="Arial" w:hAnsi="Arial" w:cs="Times New Roman" w:hint="default"/>
      </w:rPr>
    </w:lvl>
    <w:lvl w:ilvl="3" w:tplc="0EBCC3B0">
      <w:start w:val="1"/>
      <w:numFmt w:val="bullet"/>
      <w:lvlText w:val="•"/>
      <w:lvlJc w:val="left"/>
      <w:pPr>
        <w:tabs>
          <w:tab w:val="num" w:pos="2880"/>
        </w:tabs>
        <w:ind w:left="2880" w:hanging="360"/>
      </w:pPr>
      <w:rPr>
        <w:rFonts w:ascii="Arial" w:hAnsi="Arial" w:cs="Times New Roman" w:hint="default"/>
      </w:rPr>
    </w:lvl>
    <w:lvl w:ilvl="4" w:tplc="B13020EE">
      <w:start w:val="1"/>
      <w:numFmt w:val="bullet"/>
      <w:lvlText w:val="•"/>
      <w:lvlJc w:val="left"/>
      <w:pPr>
        <w:tabs>
          <w:tab w:val="num" w:pos="3600"/>
        </w:tabs>
        <w:ind w:left="3600" w:hanging="360"/>
      </w:pPr>
      <w:rPr>
        <w:rFonts w:ascii="Arial" w:hAnsi="Arial" w:cs="Times New Roman" w:hint="default"/>
      </w:rPr>
    </w:lvl>
    <w:lvl w:ilvl="5" w:tplc="B5AC2D84">
      <w:start w:val="1"/>
      <w:numFmt w:val="bullet"/>
      <w:lvlText w:val="•"/>
      <w:lvlJc w:val="left"/>
      <w:pPr>
        <w:tabs>
          <w:tab w:val="num" w:pos="4320"/>
        </w:tabs>
        <w:ind w:left="4320" w:hanging="360"/>
      </w:pPr>
      <w:rPr>
        <w:rFonts w:ascii="Arial" w:hAnsi="Arial" w:cs="Times New Roman" w:hint="default"/>
      </w:rPr>
    </w:lvl>
    <w:lvl w:ilvl="6" w:tplc="9C62DBFC">
      <w:start w:val="1"/>
      <w:numFmt w:val="bullet"/>
      <w:lvlText w:val="•"/>
      <w:lvlJc w:val="left"/>
      <w:pPr>
        <w:tabs>
          <w:tab w:val="num" w:pos="5040"/>
        </w:tabs>
        <w:ind w:left="5040" w:hanging="360"/>
      </w:pPr>
      <w:rPr>
        <w:rFonts w:ascii="Arial" w:hAnsi="Arial" w:cs="Times New Roman" w:hint="default"/>
      </w:rPr>
    </w:lvl>
    <w:lvl w:ilvl="7" w:tplc="EF02CC7A">
      <w:start w:val="1"/>
      <w:numFmt w:val="bullet"/>
      <w:lvlText w:val="•"/>
      <w:lvlJc w:val="left"/>
      <w:pPr>
        <w:tabs>
          <w:tab w:val="num" w:pos="5760"/>
        </w:tabs>
        <w:ind w:left="5760" w:hanging="360"/>
      </w:pPr>
      <w:rPr>
        <w:rFonts w:ascii="Arial" w:hAnsi="Arial" w:cs="Times New Roman" w:hint="default"/>
      </w:rPr>
    </w:lvl>
    <w:lvl w:ilvl="8" w:tplc="1388B40A">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794"/>
    <w:rsid w:val="0017032E"/>
    <w:rsid w:val="00181992"/>
    <w:rsid w:val="002136BA"/>
    <w:rsid w:val="00242286"/>
    <w:rsid w:val="00272794"/>
    <w:rsid w:val="00417C5A"/>
    <w:rsid w:val="00520AF4"/>
    <w:rsid w:val="00674FA5"/>
    <w:rsid w:val="00813740"/>
    <w:rsid w:val="0086070D"/>
    <w:rsid w:val="008A3E1B"/>
    <w:rsid w:val="009C6708"/>
    <w:rsid w:val="009E547A"/>
    <w:rsid w:val="00A1089E"/>
    <w:rsid w:val="00A531DC"/>
    <w:rsid w:val="00A5669A"/>
    <w:rsid w:val="00A74205"/>
    <w:rsid w:val="00B21A14"/>
    <w:rsid w:val="00CD5137"/>
    <w:rsid w:val="00D873C1"/>
    <w:rsid w:val="00E41674"/>
    <w:rsid w:val="00E6012E"/>
    <w:rsid w:val="00EE2EB4"/>
    <w:rsid w:val="00F358E8"/>
    <w:rsid w:val="00F770C9"/>
    <w:rsid w:val="00F86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94"/>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2794"/>
    <w:rPr>
      <w:rFonts w:ascii="Umber-NO" w:eastAsia="Times New Roman" w:hAnsi="Umber-NO"/>
      <w:b/>
      <w:sz w:val="32"/>
    </w:rPr>
  </w:style>
  <w:style w:type="character" w:customStyle="1" w:styleId="BodyTextChar">
    <w:name w:val="Body Text Char"/>
    <w:basedOn w:val="DefaultParagraphFont"/>
    <w:link w:val="BodyText"/>
    <w:rsid w:val="00272794"/>
    <w:rPr>
      <w:rFonts w:ascii="Umber-NO" w:eastAsia="Times New Roman" w:hAnsi="Umber-NO" w:cs="Times New Roman"/>
      <w:b/>
      <w:sz w:val="32"/>
      <w:szCs w:val="24"/>
    </w:rPr>
  </w:style>
  <w:style w:type="paragraph" w:styleId="NormalWeb">
    <w:name w:val="Normal (Web)"/>
    <w:basedOn w:val="Normal"/>
    <w:uiPriority w:val="99"/>
    <w:unhideWhenUsed/>
    <w:rsid w:val="00A1089E"/>
    <w:pPr>
      <w:spacing w:before="100" w:beforeAutospacing="1" w:after="100" w:afterAutospacing="1"/>
    </w:pPr>
    <w:rPr>
      <w:rFonts w:eastAsia="Times New Roman"/>
    </w:rPr>
  </w:style>
  <w:style w:type="paragraph" w:styleId="Header">
    <w:name w:val="header"/>
    <w:basedOn w:val="Normal"/>
    <w:link w:val="HeaderChar"/>
    <w:uiPriority w:val="99"/>
    <w:unhideWhenUsed/>
    <w:rsid w:val="00181992"/>
    <w:pPr>
      <w:tabs>
        <w:tab w:val="center" w:pos="4680"/>
        <w:tab w:val="right" w:pos="9360"/>
      </w:tabs>
    </w:pPr>
  </w:style>
  <w:style w:type="character" w:customStyle="1" w:styleId="HeaderChar">
    <w:name w:val="Header Char"/>
    <w:basedOn w:val="DefaultParagraphFont"/>
    <w:link w:val="Header"/>
    <w:uiPriority w:val="99"/>
    <w:rsid w:val="00181992"/>
    <w:rPr>
      <w:rFonts w:ascii="Times New Roman" w:hAnsi="Times New Roman" w:cs="Times New Roman"/>
      <w:sz w:val="24"/>
      <w:szCs w:val="24"/>
    </w:rPr>
  </w:style>
  <w:style w:type="paragraph" w:styleId="Footer">
    <w:name w:val="footer"/>
    <w:basedOn w:val="Normal"/>
    <w:link w:val="FooterChar"/>
    <w:uiPriority w:val="99"/>
    <w:unhideWhenUsed/>
    <w:rsid w:val="00181992"/>
    <w:pPr>
      <w:tabs>
        <w:tab w:val="center" w:pos="4680"/>
        <w:tab w:val="right" w:pos="9360"/>
      </w:tabs>
    </w:pPr>
  </w:style>
  <w:style w:type="character" w:customStyle="1" w:styleId="FooterChar">
    <w:name w:val="Footer Char"/>
    <w:basedOn w:val="DefaultParagraphFont"/>
    <w:link w:val="Footer"/>
    <w:uiPriority w:val="99"/>
    <w:rsid w:val="0018199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6070D"/>
    <w:rPr>
      <w:rFonts w:ascii="Tahoma" w:hAnsi="Tahoma" w:cs="Tahoma"/>
      <w:sz w:val="16"/>
      <w:szCs w:val="16"/>
    </w:rPr>
  </w:style>
  <w:style w:type="character" w:customStyle="1" w:styleId="BalloonTextChar">
    <w:name w:val="Balloon Text Char"/>
    <w:basedOn w:val="DefaultParagraphFont"/>
    <w:link w:val="BalloonText"/>
    <w:uiPriority w:val="99"/>
    <w:semiHidden/>
    <w:rsid w:val="0086070D"/>
    <w:rPr>
      <w:rFonts w:ascii="Tahoma" w:hAnsi="Tahoma" w:cs="Tahoma"/>
      <w:sz w:val="16"/>
      <w:szCs w:val="16"/>
    </w:rPr>
  </w:style>
  <w:style w:type="paragraph" w:styleId="ListParagraph">
    <w:name w:val="List Paragraph"/>
    <w:basedOn w:val="Normal"/>
    <w:uiPriority w:val="34"/>
    <w:qFormat/>
    <w:rsid w:val="00A74205"/>
    <w:pPr>
      <w:spacing w:line="276" w:lineRule="auto"/>
      <w:ind w:left="720"/>
      <w:contextualSpacing/>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94"/>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2794"/>
    <w:rPr>
      <w:rFonts w:ascii="Umber-NO" w:eastAsia="Times New Roman" w:hAnsi="Umber-NO"/>
      <w:b/>
      <w:sz w:val="32"/>
    </w:rPr>
  </w:style>
  <w:style w:type="character" w:customStyle="1" w:styleId="BodyTextChar">
    <w:name w:val="Body Text Char"/>
    <w:basedOn w:val="DefaultParagraphFont"/>
    <w:link w:val="BodyText"/>
    <w:rsid w:val="00272794"/>
    <w:rPr>
      <w:rFonts w:ascii="Umber-NO" w:eastAsia="Times New Roman" w:hAnsi="Umber-NO" w:cs="Times New Roman"/>
      <w:b/>
      <w:sz w:val="32"/>
      <w:szCs w:val="24"/>
    </w:rPr>
  </w:style>
  <w:style w:type="paragraph" w:styleId="NormalWeb">
    <w:name w:val="Normal (Web)"/>
    <w:basedOn w:val="Normal"/>
    <w:uiPriority w:val="99"/>
    <w:unhideWhenUsed/>
    <w:rsid w:val="00A1089E"/>
    <w:pPr>
      <w:spacing w:before="100" w:beforeAutospacing="1" w:after="100" w:afterAutospacing="1"/>
    </w:pPr>
    <w:rPr>
      <w:rFonts w:eastAsia="Times New Roman"/>
    </w:rPr>
  </w:style>
  <w:style w:type="paragraph" w:styleId="Header">
    <w:name w:val="header"/>
    <w:basedOn w:val="Normal"/>
    <w:link w:val="HeaderChar"/>
    <w:uiPriority w:val="99"/>
    <w:unhideWhenUsed/>
    <w:rsid w:val="00181992"/>
    <w:pPr>
      <w:tabs>
        <w:tab w:val="center" w:pos="4680"/>
        <w:tab w:val="right" w:pos="9360"/>
      </w:tabs>
    </w:pPr>
  </w:style>
  <w:style w:type="character" w:customStyle="1" w:styleId="HeaderChar">
    <w:name w:val="Header Char"/>
    <w:basedOn w:val="DefaultParagraphFont"/>
    <w:link w:val="Header"/>
    <w:uiPriority w:val="99"/>
    <w:rsid w:val="00181992"/>
    <w:rPr>
      <w:rFonts w:ascii="Times New Roman" w:hAnsi="Times New Roman" w:cs="Times New Roman"/>
      <w:sz w:val="24"/>
      <w:szCs w:val="24"/>
    </w:rPr>
  </w:style>
  <w:style w:type="paragraph" w:styleId="Footer">
    <w:name w:val="footer"/>
    <w:basedOn w:val="Normal"/>
    <w:link w:val="FooterChar"/>
    <w:uiPriority w:val="99"/>
    <w:unhideWhenUsed/>
    <w:rsid w:val="00181992"/>
    <w:pPr>
      <w:tabs>
        <w:tab w:val="center" w:pos="4680"/>
        <w:tab w:val="right" w:pos="9360"/>
      </w:tabs>
    </w:pPr>
  </w:style>
  <w:style w:type="character" w:customStyle="1" w:styleId="FooterChar">
    <w:name w:val="Footer Char"/>
    <w:basedOn w:val="DefaultParagraphFont"/>
    <w:link w:val="Footer"/>
    <w:uiPriority w:val="99"/>
    <w:rsid w:val="0018199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6070D"/>
    <w:rPr>
      <w:rFonts w:ascii="Tahoma" w:hAnsi="Tahoma" w:cs="Tahoma"/>
      <w:sz w:val="16"/>
      <w:szCs w:val="16"/>
    </w:rPr>
  </w:style>
  <w:style w:type="character" w:customStyle="1" w:styleId="BalloonTextChar">
    <w:name w:val="Balloon Text Char"/>
    <w:basedOn w:val="DefaultParagraphFont"/>
    <w:link w:val="BalloonText"/>
    <w:uiPriority w:val="99"/>
    <w:semiHidden/>
    <w:rsid w:val="0086070D"/>
    <w:rPr>
      <w:rFonts w:ascii="Tahoma" w:hAnsi="Tahoma" w:cs="Tahoma"/>
      <w:sz w:val="16"/>
      <w:szCs w:val="16"/>
    </w:rPr>
  </w:style>
  <w:style w:type="paragraph" w:styleId="ListParagraph">
    <w:name w:val="List Paragraph"/>
    <w:basedOn w:val="Normal"/>
    <w:uiPriority w:val="34"/>
    <w:qFormat/>
    <w:rsid w:val="00A74205"/>
    <w:pPr>
      <w:spacing w:line="276" w:lineRule="auto"/>
      <w:ind w:left="720"/>
      <w:contextualSpacing/>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63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A63E8-AA46-48B9-A9B7-CF0A4D172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Waite</dc:creator>
  <cp:lastModifiedBy>Diedre Mills</cp:lastModifiedBy>
  <cp:revision>4</cp:revision>
  <cp:lastPrinted>2017-04-11T14:03:00Z</cp:lastPrinted>
  <dcterms:created xsi:type="dcterms:W3CDTF">2017-04-11T14:14:00Z</dcterms:created>
  <dcterms:modified xsi:type="dcterms:W3CDTF">2017-04-11T14:44:00Z</dcterms:modified>
</cp:coreProperties>
</file>