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5700" w:rsidRPr="005F71ED" w:rsidTr="007176C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35700" w:rsidRPr="005F71ED" w:rsidTr="007176C2">
              <w:tc>
                <w:tcPr>
                  <w:tcW w:w="0" w:type="auto"/>
                  <w:hideMark/>
                </w:tcPr>
                <w:p w:rsidR="00135700" w:rsidRPr="005F71ED" w:rsidRDefault="00135700" w:rsidP="007176C2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 w:themeColor="text1"/>
                      <w:sz w:val="24"/>
                      <w:szCs w:val="24"/>
                    </w:rPr>
                  </w:pPr>
                  <w:r w:rsidRPr="005F71ED">
                    <w:rPr>
                      <w:rFonts w:ascii="Book Antiqua" w:hAnsi="Book Antiqua" w:cs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299311E7" wp14:editId="0A228A16">
                        <wp:simplePos x="0" y="0"/>
                        <wp:positionH relativeFrom="column">
                          <wp:posOffset>209550</wp:posOffset>
                        </wp:positionH>
                        <wp:positionV relativeFrom="line">
                          <wp:posOffset>0</wp:posOffset>
                        </wp:positionV>
                        <wp:extent cx="5524500" cy="626110"/>
                        <wp:effectExtent l="0" t="0" r="0" b="2540"/>
                        <wp:wrapSquare wrapText="bothSides"/>
                        <wp:docPr id="5" name="Picture 5" descr="IPI Event Invitation">
                          <a:hlinkClick xmlns:a="http://schemas.openxmlformats.org/drawingml/2006/main" r:id="rId4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PI Event Invitation">
                                  <a:hlinkClick r:id="rId4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62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6" w:history="1"/>
                </w:p>
              </w:tc>
            </w:tr>
          </w:tbl>
          <w:p w:rsidR="00135700" w:rsidRPr="005F71ED" w:rsidRDefault="00135700" w:rsidP="007176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700" w:rsidRPr="005F71ED" w:rsidRDefault="00135700" w:rsidP="00135700">
      <w:pPr>
        <w:spacing w:after="0" w:line="240" w:lineRule="auto"/>
        <w:rPr>
          <w:rFonts w:ascii="Book Antiqua" w:eastAsia="Times New Roman" w:hAnsi="Book Antiqua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5700" w:rsidRPr="00135700" w:rsidTr="007176C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35700" w:rsidRPr="00135700" w:rsidTr="007176C2">
              <w:tc>
                <w:tcPr>
                  <w:tcW w:w="9000" w:type="dxa"/>
                  <w:hideMark/>
                </w:tcPr>
                <w:p w:rsidR="00135700" w:rsidRPr="00227732" w:rsidRDefault="00135700" w:rsidP="007176C2">
                  <w:pPr>
                    <w:spacing w:after="0" w:line="240" w:lineRule="auto"/>
                    <w:rPr>
                      <w:lang w:val="fr-FR"/>
                    </w:rPr>
                  </w:pPr>
                  <w:r w:rsidRPr="00227732">
                    <w:rPr>
                      <w:lang w:val="fr-FR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:rsidR="00135700" w:rsidRDefault="00135700" w:rsidP="007176C2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  <w:lang w:val="fr-FR"/>
                    </w:rPr>
                  </w:pPr>
                  <w:bookmarkStart w:id="0" w:name="_GoBack"/>
                  <w:bookmarkEnd w:id="0"/>
                  <w:r w:rsidRPr="00CD588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182630" wp14:editId="3B7DE21E">
                        <wp:extent cx="619125" cy="49741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932" cy="517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5700" w:rsidRDefault="00135700" w:rsidP="007176C2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  <w:lang w:val="fr-FR"/>
                    </w:rPr>
                  </w:pPr>
                </w:p>
                <w:p w:rsidR="00135700" w:rsidRPr="00135700" w:rsidRDefault="00135700" w:rsidP="007176C2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</w:rPr>
                    <w:t>Permanent Mission of C</w:t>
                  </w:r>
                  <w:r w:rsidRPr="00135700"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</w:rPr>
                    <w:t>ô</w:t>
                  </w:r>
                  <w:r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</w:rPr>
                    <w:t xml:space="preserve">te d’Ivoire </w:t>
                  </w:r>
                  <w:r w:rsidRPr="00135700">
                    <w:rPr>
                      <w:rFonts w:ascii="Book Antiqua" w:hAnsi="Book Antiqua" w:cs="Times New Roman"/>
                      <w:color w:val="000000" w:themeColor="text1"/>
                      <w:sz w:val="16"/>
                      <w:szCs w:val="16"/>
                    </w:rPr>
                    <w:t>to the United Nations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35700" w:rsidRPr="00135700" w:rsidTr="007176C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35700" w:rsidRPr="00135700" w:rsidRDefault="00135700" w:rsidP="007176C2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135700" w:rsidRPr="00135700" w:rsidRDefault="00135700" w:rsidP="007176C2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Côte d’Ivoire, </w:t>
                        </w:r>
                        <w:r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a Successful </w:t>
                        </w:r>
                        <w:r w:rsidR="00AC49ED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Case of </w:t>
                        </w:r>
                        <w:r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Crisis M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anagement : </w:t>
                        </w:r>
                        <w:r w:rsidR="000E761C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Look</w:t>
                        </w:r>
                        <w:r w:rsidR="000E761C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Back</w:t>
                        </w:r>
                        <w:r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at the Experience and Lessons L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earned</w:t>
                        </w:r>
                        <w:r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  </w:t>
                        </w:r>
                      </w:p>
                      <w:p w:rsidR="00135700" w:rsidRPr="00135700" w:rsidRDefault="00135700" w:rsidP="007176C2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5700" w:rsidRPr="00135700" w:rsidRDefault="00135700" w:rsidP="007176C2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35700" w:rsidRPr="00135700" w:rsidRDefault="00135700" w:rsidP="007176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700" w:rsidRPr="005F71ED" w:rsidRDefault="00135700" w:rsidP="00135700">
      <w:pPr>
        <w:spacing w:after="0" w:line="240" w:lineRule="auto"/>
        <w:rPr>
          <w:rFonts w:ascii="Book Antiqua" w:eastAsia="Times New Roman" w:hAnsi="Book Antiqua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5700" w:rsidRPr="00135700" w:rsidTr="007176C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4"/>
              <w:gridCol w:w="3276"/>
            </w:tblGrid>
            <w:tr w:rsidR="00135700" w:rsidRPr="00135700" w:rsidTr="007176C2">
              <w:tc>
                <w:tcPr>
                  <w:tcW w:w="585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4"/>
                  </w:tblGrid>
                  <w:tr w:rsidR="00135700" w:rsidRPr="00135700" w:rsidTr="007176C2">
                    <w:trPr>
                      <w:trHeight w:val="1530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35700" w:rsidRPr="00135700" w:rsidRDefault="00135700" w:rsidP="007176C2">
                        <w:pPr>
                          <w:spacing w:after="0" w:line="240" w:lineRule="auto"/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5700"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Date: 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April 11th, 2017, </w:t>
                        </w:r>
                        <w:r w:rsidR="00A25AD9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6pm-8:30pm 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135700" w:rsidRPr="00135700" w:rsidRDefault="00135700" w:rsidP="007176C2">
                        <w:pPr>
                          <w:spacing w:after="0" w:line="240" w:lineRule="auto"/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5700"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Location: 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One UN Plaza, Diplomat Ballroom</w:t>
                        </w:r>
                      </w:p>
                      <w:p w:rsidR="00135700" w:rsidRPr="00135700" w:rsidRDefault="00135700" w:rsidP="007176C2">
                        <w:pPr>
                          <w:spacing w:after="0" w:line="240" w:lineRule="auto"/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F71ED">
                          <w:rPr>
                            <w:rFonts w:ascii="Book Antiqua" w:hAnsi="Book Antiqua" w:cs="Times New Roman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0288" behindDoc="0" locked="0" layoutInCell="1" allowOverlap="0" wp14:anchorId="67587B34" wp14:editId="487B5FB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line">
                                <wp:posOffset>190500</wp:posOffset>
                              </wp:positionV>
                              <wp:extent cx="609600" cy="325120"/>
                              <wp:effectExtent l="0" t="0" r="0" b="0"/>
                              <wp:wrapSquare wrapText="bothSides"/>
                              <wp:docPr id="4" name="Picture 4" descr="https://gallery.mailchimp.com/dd3dd71465ae4b31be756537e/images/bb8c7d45-8535-4502-ae74-1b8875027c89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dd3dd71465ae4b31be756537e/images/bb8c7d45-8535-4502-ae74-1b8875027c89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25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 </w:t>
                        </w:r>
                        <w:r w:rsidRPr="00135700"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135700" w:rsidRPr="00135700" w:rsidRDefault="00135700" w:rsidP="007176C2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6"/>
                  </w:tblGrid>
                  <w:tr w:rsidR="00135700" w:rsidRPr="00135700" w:rsidTr="007176C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35700" w:rsidRPr="00135700" w:rsidRDefault="00135700" w:rsidP="007176C2">
                        <w:pPr>
                          <w:spacing w:after="0" w:line="240" w:lineRule="auto"/>
                          <w:jc w:val="center"/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5700">
                          <w:rPr>
                            <w:rFonts w:ascii="Book Antiqua" w:eastAsia="Times New Roman" w:hAnsi="Book Antiqua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135700" w:rsidRPr="00135700" w:rsidRDefault="00135700" w:rsidP="007176C2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35700" w:rsidRPr="00135700" w:rsidRDefault="00135700" w:rsidP="007176C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08C4" w:rsidRPr="000E761C" w:rsidRDefault="002408C4" w:rsidP="00135700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A25AD9" w:rsidRDefault="00135700" w:rsidP="006F10B7">
      <w:pPr>
        <w:pStyle w:val="NoSpacing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135700">
        <w:rPr>
          <w:rFonts w:ascii="Book Antiqua" w:hAnsi="Book Antiqua" w:cs="Times New Roman"/>
          <w:color w:val="000000" w:themeColor="text1"/>
          <w:sz w:val="24"/>
          <w:szCs w:val="24"/>
        </w:rPr>
        <w:t>The Permanent Mission of Côte d’Ivoire to the United Nations and the International Peace Institute (IPI) are pleased to invite you to a</w:t>
      </w:r>
      <w:r w:rsidR="00A25AD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high-P</w:t>
      </w:r>
      <w:r w:rsidRPr="0013570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anel event to be held on April 11, 2017 at 6pm, on </w:t>
      </w:r>
      <w:r w:rsidRPr="00135700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Côte d’Ivoire, a </w:t>
      </w:r>
      <w:r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S</w:t>
      </w:r>
      <w:r w:rsidRPr="00135700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u</w:t>
      </w:r>
      <w:r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ccessful </w:t>
      </w:r>
      <w:r w:rsidR="00AC49ED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Case of </w:t>
      </w:r>
      <w:r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Crisis Management: a Look</w:t>
      </w:r>
      <w:r w:rsidR="00D55BB1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Back</w:t>
      </w:r>
      <w:r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at the Experience and L</w:t>
      </w:r>
      <w:r w:rsidRPr="00135700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essons learned</w:t>
      </w:r>
      <w:r w:rsidR="00A25AD9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.</w:t>
      </w:r>
    </w:p>
    <w:p w:rsidR="00A25AD9" w:rsidRPr="000E761C" w:rsidRDefault="00A25AD9" w:rsidP="006F10B7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135700" w:rsidRDefault="00A25AD9" w:rsidP="006F10B7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25AD9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Panel will </w:t>
      </w:r>
      <w:r w:rsidR="005B2AD8">
        <w:rPr>
          <w:rFonts w:ascii="Book Antiqua" w:hAnsi="Book Antiqua" w:cs="Times New Roman"/>
          <w:color w:val="000000" w:themeColor="text1"/>
          <w:sz w:val="24"/>
          <w:szCs w:val="24"/>
        </w:rPr>
        <w:t>be held</w:t>
      </w:r>
      <w:r w:rsidRPr="00A25AD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at One UN Plaza’s Diplomat Ballroom, at 6pm, and will be followed by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a reception, during which H.E. </w:t>
      </w:r>
      <w:r w:rsidR="00AA6250">
        <w:rPr>
          <w:rFonts w:ascii="Book Antiqua" w:hAnsi="Book Antiqua" w:cs="Times New Roman"/>
          <w:color w:val="000000" w:themeColor="text1"/>
          <w:sz w:val="24"/>
          <w:szCs w:val="24"/>
        </w:rPr>
        <w:t>Mr.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Marcel AMON-TANOH, C</w:t>
      </w:r>
      <w:r w:rsidRPr="00A25AD9">
        <w:rPr>
          <w:rFonts w:ascii="Book Antiqua" w:hAnsi="Book Antiqua" w:cs="Times New Roman"/>
          <w:color w:val="000000" w:themeColor="text1"/>
          <w:sz w:val="24"/>
          <w:szCs w:val="24"/>
        </w:rPr>
        <w:t xml:space="preserve">ôte d’Ivoire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Minist</w:t>
      </w:r>
      <w:r w:rsidR="00EE06DF">
        <w:rPr>
          <w:rFonts w:ascii="Book Antiqua" w:hAnsi="Book Antiqua" w:cs="Times New Roman"/>
          <w:color w:val="000000" w:themeColor="text1"/>
          <w:sz w:val="24"/>
          <w:szCs w:val="24"/>
        </w:rPr>
        <w:t>er of Foreign Affairs, will give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speech to announce C</w:t>
      </w:r>
      <w:r w:rsidRPr="00A25AD9">
        <w:rPr>
          <w:rFonts w:ascii="Book Antiqua" w:hAnsi="Book Antiqua" w:cs="Times New Roman"/>
          <w:color w:val="000000" w:themeColor="text1"/>
          <w:sz w:val="24"/>
          <w:szCs w:val="24"/>
        </w:rPr>
        <w:t>ôte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d’Ivoire’s candidacy </w:t>
      </w:r>
      <w:r w:rsidR="005B2AD8">
        <w:rPr>
          <w:rFonts w:ascii="Book Antiqua" w:hAnsi="Book Antiqua" w:cs="Times New Roman"/>
          <w:color w:val="000000" w:themeColor="text1"/>
          <w:sz w:val="24"/>
          <w:szCs w:val="24"/>
        </w:rPr>
        <w:t>for a non-permanent seat on the United Nations Security Council for the 2018-2019 period.</w:t>
      </w:r>
    </w:p>
    <w:p w:rsidR="00AA6250" w:rsidRDefault="00AA6250" w:rsidP="00135700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AA6250" w:rsidRPr="000E761C" w:rsidRDefault="00AA6250" w:rsidP="00AA6250">
      <w:pPr>
        <w:spacing w:after="0" w:line="240" w:lineRule="auto"/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  <w:u w:val="single"/>
        </w:rPr>
      </w:pPr>
      <w:r w:rsidRPr="000E761C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  <w:u w:val="single"/>
        </w:rPr>
        <w:t>Panelists</w:t>
      </w:r>
      <w:r w:rsidRPr="000E761C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  <w:t>:</w:t>
      </w:r>
    </w:p>
    <w:p w:rsidR="00AA6250" w:rsidRPr="000E761C" w:rsidRDefault="00AA6250" w:rsidP="00AA6250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0E761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  <w:r w:rsidRPr="000E761C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  <w:t>H.E.</w:t>
      </w:r>
      <w:r w:rsidRPr="000E761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E761C">
        <w:rPr>
          <w:rFonts w:ascii="Book Antiqua" w:hAnsi="Book Antiqua" w:cs="Times New Roman"/>
          <w:b/>
          <w:color w:val="000000" w:themeColor="text1"/>
          <w:sz w:val="24"/>
          <w:szCs w:val="24"/>
        </w:rPr>
        <w:t>Mr.</w:t>
      </w:r>
      <w:r w:rsidRPr="000E761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E761C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Marcel AMON-TANOH, </w:t>
      </w:r>
      <w:r w:rsidRPr="000E761C">
        <w:rPr>
          <w:rFonts w:ascii="Book Antiqua" w:hAnsi="Book Antiqua" w:cs="Times New Roman"/>
          <w:i/>
          <w:color w:val="000000" w:themeColor="text1"/>
          <w:sz w:val="24"/>
          <w:szCs w:val="24"/>
        </w:rPr>
        <w:t>Côte d’Ivoire Minister of Foreign Affairs</w:t>
      </w:r>
      <w:r w:rsidRPr="000E761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  <w:r w:rsidRPr="000E761C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  <w:t>Mr. Jean-Pierre LACROIX</w:t>
      </w:r>
      <w:r w:rsidRPr="000E761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Pr="000E761C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United Nations Under-Secretary-General for Peacekeeping Operations</w:t>
      </w:r>
    </w:p>
    <w:p w:rsidR="00AA6250" w:rsidRPr="00AA6250" w:rsidRDefault="00AA6250" w:rsidP="00AA6250">
      <w:pPr>
        <w:spacing w:after="0" w:line="240" w:lineRule="auto"/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A6250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Mrs. Elisabeth Lindenmayer, </w:t>
      </w:r>
      <w:r w:rsidRPr="00AA6250">
        <w:rPr>
          <w:rStyle w:val="Strong"/>
          <w:rFonts w:ascii="Book Antiqua" w:eastAsia="Times New Roman" w:hAnsi="Book Antiqua" w:cs="Times New Roman"/>
          <w:b w:val="0"/>
          <w:i/>
          <w:color w:val="000000" w:themeColor="text1"/>
          <w:sz w:val="24"/>
          <w:szCs w:val="24"/>
        </w:rPr>
        <w:t>Director, International Organization and UN Studies Specialization, School of International and Public Affairs (SIPA), Columbia University</w:t>
      </w:r>
    </w:p>
    <w:p w:rsidR="00AA6250" w:rsidRPr="00647E18" w:rsidRDefault="00AA6250" w:rsidP="00AA6250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A625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  <w:r w:rsidRPr="00647E18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  <w:u w:val="single"/>
        </w:rPr>
        <w:t>Mod</w:t>
      </w:r>
      <w:r w:rsidR="00647E18" w:rsidRPr="00647E18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  <w:u w:val="single"/>
        </w:rPr>
        <w:t>erato</w:t>
      </w:r>
      <w:r w:rsidRPr="00647E18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  <w:u w:val="single"/>
        </w:rPr>
        <w:t>r</w:t>
      </w:r>
      <w:r w:rsidRPr="00647E18">
        <w:rPr>
          <w:rStyle w:val="Strong"/>
          <w:rFonts w:ascii="Book Antiqua" w:eastAsia="Times New Roman" w:hAnsi="Book Antiqua" w:cs="Times New Roman"/>
          <w:color w:val="000000" w:themeColor="text1"/>
          <w:sz w:val="24"/>
          <w:szCs w:val="24"/>
        </w:rPr>
        <w:t>:</w:t>
      </w:r>
      <w:r w:rsidRPr="00647E18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647E18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M. Youssef Mahmoud,</w:t>
      </w:r>
      <w:r w:rsidRPr="00647E18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647E18" w:rsidRPr="00647E18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Senior Advisor</w:t>
      </w:r>
      <w:r w:rsidRPr="00647E18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, International Peace Institute (IPI)</w:t>
      </w:r>
    </w:p>
    <w:p w:rsidR="00AA6250" w:rsidRPr="00647E18" w:rsidRDefault="00AA6250" w:rsidP="00AA6250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:rsidR="004367EE" w:rsidRPr="000E761C" w:rsidRDefault="004367EE" w:rsidP="004367EE">
      <w:pPr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</w:pPr>
    </w:p>
    <w:p w:rsidR="004367EE" w:rsidRPr="000E761C" w:rsidRDefault="004367EE" w:rsidP="004367EE">
      <w:pPr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</w:pPr>
    </w:p>
    <w:p w:rsidR="004367EE" w:rsidRPr="000E761C" w:rsidRDefault="004367EE" w:rsidP="004367EE">
      <w:pPr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</w:pPr>
    </w:p>
    <w:p w:rsidR="004367EE" w:rsidRPr="006F591E" w:rsidRDefault="004367EE" w:rsidP="004367EE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6F591E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lastRenderedPageBreak/>
        <w:t>Context</w:t>
      </w:r>
      <w:r w:rsidRPr="006F591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:</w:t>
      </w:r>
    </w:p>
    <w:p w:rsidR="004367EE" w:rsidRPr="006F591E" w:rsidRDefault="004367EE" w:rsidP="004367EE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:rsidR="004367EE" w:rsidRDefault="004367EE" w:rsidP="004367EE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4367E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After thirteen years of presence, t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he </w:t>
      </w:r>
      <w:r w:rsidR="0013586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mandate of the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United Nations Operation in</w:t>
      </w:r>
      <w:r w:rsidRPr="004367E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Côte d’Ivoire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(UNOCI) will end in June 2017, leaving behind a stable</w:t>
      </w:r>
      <w:r w:rsidR="00EE06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</w:t>
      </w:r>
      <w:r w:rsidR="005044F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firmly committed </w:t>
      </w:r>
      <w:r w:rsidR="00EE06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country</w:t>
      </w:r>
      <w:r w:rsidR="004165E2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EE06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5044F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on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path of economic development – with </w:t>
      </w:r>
      <w:r w:rsidR="005044F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 annual average growth rate of 9% -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5044F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reconciliation and sustainable peace. </w:t>
      </w:r>
    </w:p>
    <w:p w:rsidR="005044FE" w:rsidRPr="00CE6168" w:rsidRDefault="005044FE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5044FE" w:rsidRDefault="00EE06DF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UNOCI </w:t>
      </w:r>
      <w:r w:rsidR="005044FE" w:rsidRPr="005044FE">
        <w:rPr>
          <w:rFonts w:ascii="Book Antiqua" w:hAnsi="Book Antiqua" w:cs="Times New Roman"/>
          <w:color w:val="000000" w:themeColor="text1"/>
          <w:sz w:val="24"/>
          <w:szCs w:val="24"/>
        </w:rPr>
        <w:t>is the firs</w:t>
      </w:r>
      <w:r w:rsidR="005044FE">
        <w:rPr>
          <w:rFonts w:ascii="Book Antiqua" w:hAnsi="Book Antiqua" w:cs="Times New Roman"/>
          <w:color w:val="000000" w:themeColor="text1"/>
          <w:sz w:val="24"/>
          <w:szCs w:val="24"/>
        </w:rPr>
        <w:t xml:space="preserve">t peacekeeping operation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to close</w:t>
      </w:r>
      <w:r w:rsidR="005044F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since the closing of the United Nations Integrated Mission in East Timor</w:t>
      </w:r>
      <w:r w:rsidR="00135865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4165E2">
        <w:rPr>
          <w:rFonts w:ascii="Book Antiqua" w:hAnsi="Book Antiqua" w:cs="Times New Roman"/>
          <w:color w:val="000000" w:themeColor="text1"/>
          <w:sz w:val="24"/>
          <w:szCs w:val="24"/>
        </w:rPr>
        <w:t>this closing</w:t>
      </w:r>
      <w:r w:rsidR="005D74F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044FE">
        <w:rPr>
          <w:rFonts w:ascii="Book Antiqua" w:hAnsi="Book Antiqua" w:cs="Times New Roman"/>
          <w:color w:val="000000" w:themeColor="text1"/>
          <w:sz w:val="24"/>
          <w:szCs w:val="24"/>
        </w:rPr>
        <w:t>comes as exit strategies are</w:t>
      </w:r>
      <w:r w:rsidR="005D74F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75F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also </w:t>
      </w:r>
      <w:r w:rsidR="005D74F2">
        <w:rPr>
          <w:rFonts w:ascii="Book Antiqua" w:hAnsi="Book Antiqua" w:cs="Times New Roman"/>
          <w:color w:val="000000" w:themeColor="text1"/>
          <w:sz w:val="24"/>
          <w:szCs w:val="24"/>
        </w:rPr>
        <w:t>being considered for the mission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044F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Liberia and</w:t>
      </w:r>
      <w:r w:rsidR="005D74F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044FE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Haiti. This provides an opportunity to examine lessons that can be learned from this unique operation. </w:t>
      </w:r>
    </w:p>
    <w:p w:rsidR="00F40DD8" w:rsidRPr="006F591E" w:rsidRDefault="00F40DD8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40DD8" w:rsidRDefault="00F40DD8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F40DD8">
        <w:rPr>
          <w:rFonts w:ascii="Book Antiqua" w:hAnsi="Book Antiqua" w:cs="Times New Roman"/>
          <w:color w:val="000000" w:themeColor="text1"/>
          <w:sz w:val="24"/>
          <w:szCs w:val="24"/>
        </w:rPr>
        <w:t>Indeed, the resolution of th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e </w:t>
      </w:r>
      <w:r w:rsidR="00A02657">
        <w:rPr>
          <w:rFonts w:ascii="Book Antiqua" w:hAnsi="Book Antiqua" w:cs="Times New Roman"/>
          <w:color w:val="000000" w:themeColor="text1"/>
          <w:sz w:val="24"/>
          <w:szCs w:val="24"/>
        </w:rPr>
        <w:t>Ivorian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crisis since 2002</w:t>
      </w:r>
      <w:r w:rsidR="00EE06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led the Security Council to</w:t>
      </w:r>
      <w:r w:rsidR="00EE06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resort to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various crisis management ins</w:t>
      </w:r>
      <w:r w:rsidR="00A060E7">
        <w:rPr>
          <w:rFonts w:ascii="Book Antiqua" w:hAnsi="Book Antiqua" w:cs="Times New Roman"/>
          <w:color w:val="000000" w:themeColor="text1"/>
          <w:sz w:val="24"/>
          <w:szCs w:val="24"/>
        </w:rPr>
        <w:t>truments: diplomatic engagement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through regional mediation efforts and the deployment of a regional force; the </w:t>
      </w:r>
      <w:r w:rsidR="00EE06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simultaneous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deployment of a</w:t>
      </w:r>
      <w:r w:rsidR="00EE06D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French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force (Operation Licorne)</w:t>
      </w:r>
      <w:r w:rsidR="005D3C6B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the implementation of an arms and diamonds embargo, targeted sanctions against troublemakers; the establishment of </w:t>
      </w:r>
      <w:r w:rsidR="008D27A1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5D3C6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commission </w:t>
      </w:r>
      <w:r w:rsidR="008D27A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inquiry </w:t>
      </w:r>
      <w:r w:rsidR="005D3C6B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human rights abuses; threats to resort to the International Criminal Court; Security Sector Reform (SSR), </w:t>
      </w:r>
      <w:r w:rsidR="00CE6168">
        <w:rPr>
          <w:rFonts w:ascii="Book Antiqua" w:hAnsi="Book Antiqua" w:cs="Times New Roman"/>
          <w:color w:val="000000" w:themeColor="text1"/>
          <w:sz w:val="24"/>
          <w:szCs w:val="24"/>
        </w:rPr>
        <w:t>Disarmament</w:t>
      </w:r>
      <w:r w:rsidR="005D3C6B">
        <w:rPr>
          <w:rFonts w:ascii="Book Antiqua" w:hAnsi="Book Antiqua" w:cs="Times New Roman"/>
          <w:color w:val="000000" w:themeColor="text1"/>
          <w:sz w:val="24"/>
          <w:szCs w:val="24"/>
        </w:rPr>
        <w:t>, Demobilization and Reintegration (DDR)</w:t>
      </w:r>
      <w:r w:rsidR="008D27A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and </w:t>
      </w:r>
      <w:r w:rsidR="005D3C6B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8D27A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establishment </w:t>
      </w:r>
      <w:r w:rsidR="005D3C6B">
        <w:rPr>
          <w:rFonts w:ascii="Book Antiqua" w:hAnsi="Book Antiqua" w:cs="Times New Roman"/>
          <w:color w:val="000000" w:themeColor="text1"/>
          <w:sz w:val="24"/>
          <w:szCs w:val="24"/>
        </w:rPr>
        <w:t>of a UN election certification mandate.</w:t>
      </w:r>
    </w:p>
    <w:p w:rsidR="005D3C6B" w:rsidRPr="006F591E" w:rsidRDefault="005D3C6B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7715CC" w:rsidRPr="007715CC" w:rsidRDefault="007715CC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these instruments have, at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some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point, contributed </w:t>
      </w:r>
      <w:r w:rsidR="00F6586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initiate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dialogue between</w:t>
      </w:r>
      <w:r w:rsidR="00AC49E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</w:t>
      </w:r>
      <w:r w:rsidR="00C15498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various </w:t>
      </w:r>
      <w:r w:rsidR="00AC49ED">
        <w:rPr>
          <w:rFonts w:ascii="Book Antiqua" w:hAnsi="Book Antiqua" w:cs="Times New Roman"/>
          <w:color w:val="000000" w:themeColor="text1"/>
          <w:sz w:val="24"/>
          <w:szCs w:val="24"/>
        </w:rPr>
        <w:t>stakeholders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Although contested at its outset, the UN’s </w:t>
      </w:r>
      <w:r w:rsidR="00AC49ED">
        <w:rPr>
          <w:rFonts w:ascii="Book Antiqua" w:hAnsi="Book Antiqua" w:cs="Times New Roman"/>
          <w:color w:val="000000" w:themeColor="text1"/>
          <w:sz w:val="24"/>
          <w:szCs w:val="24"/>
        </w:rPr>
        <w:t xml:space="preserve">election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certification role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ultimately led the international community to unite around </w:t>
      </w:r>
      <w:r w:rsidR="00251458">
        <w:rPr>
          <w:rFonts w:ascii="Book Antiqua" w:hAnsi="Book Antiqua" w:cs="Times New Roman"/>
          <w:color w:val="000000" w:themeColor="text1"/>
          <w:sz w:val="24"/>
          <w:szCs w:val="24"/>
        </w:rPr>
        <w:t>the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decisive action to </w:t>
      </w:r>
      <w:r w:rsidR="00251458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conduct</w:t>
      </w:r>
      <w:r w:rsidR="00251458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order </w:t>
      </w:r>
      <w:r w:rsidR="004E1657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ensure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full</w:t>
      </w:r>
      <w:r w:rsidR="004E165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respect of the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results of the </w:t>
      </w:r>
      <w:r w:rsidR="004E1657">
        <w:rPr>
          <w:rFonts w:ascii="Book Antiqua" w:hAnsi="Book Antiqua" w:cs="Times New Roman"/>
          <w:color w:val="000000" w:themeColor="text1"/>
          <w:sz w:val="24"/>
          <w:szCs w:val="24"/>
        </w:rPr>
        <w:t>November 201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0 presidential elections</w:t>
      </w:r>
      <w:r w:rsidR="004E1657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This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allowed for</w:t>
      </w:r>
      <w:r w:rsidR="002952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crisis recovery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2952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3C15">
        <w:rPr>
          <w:rFonts w:ascii="Book Antiqua" w:hAnsi="Book Antiqua" w:cs="Times New Roman"/>
          <w:color w:val="000000" w:themeColor="text1"/>
          <w:sz w:val="24"/>
          <w:szCs w:val="24"/>
        </w:rPr>
        <w:t>the stabilization of Cote d’Ivoire and more broadly of</w:t>
      </w:r>
      <w:r w:rsidR="0029524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sub-region. </w:t>
      </w:r>
    </w:p>
    <w:p w:rsidR="007715CC" w:rsidRPr="00B53C15" w:rsidRDefault="007715CC" w:rsidP="004367EE">
      <w:pPr>
        <w:pStyle w:val="NoSpacing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29524E" w:rsidRPr="0029524E" w:rsidRDefault="0029524E" w:rsidP="004367EE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 w:rsidRPr="0029524E">
        <w:rPr>
          <w:rFonts w:ascii="Book Antiqua" w:hAnsi="Book Antiqua" w:cs="Times New Roman"/>
          <w:sz w:val="24"/>
          <w:szCs w:val="24"/>
        </w:rPr>
        <w:t xml:space="preserve">Just as </w:t>
      </w:r>
      <w:r w:rsidRPr="0029524E">
        <w:rPr>
          <w:rFonts w:ascii="Book Antiqua" w:eastAsia="Times New Roman" w:hAnsi="Book Antiqua" w:cs="Times New Roman"/>
          <w:sz w:val="24"/>
          <w:szCs w:val="24"/>
        </w:rPr>
        <w:t>Côte d’Ivoire is launching its campaign for a non-permanent member seat on the Security Council, this high-level panel will offer the opportunity to reflect on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the management and resolution</w:t>
      </w:r>
      <w:r w:rsidR="00AC49ED">
        <w:rPr>
          <w:rFonts w:ascii="Book Antiqua" w:eastAsia="Times New Roman" w:hAnsi="Book Antiqua" w:cs="Times New Roman"/>
          <w:sz w:val="24"/>
          <w:szCs w:val="24"/>
        </w:rPr>
        <w:t xml:space="preserve"> of this crisis</w:t>
      </w:r>
      <w:r>
        <w:rPr>
          <w:rFonts w:ascii="Book Antiqua" w:eastAsia="Times New Roman" w:hAnsi="Book Antiqua" w:cs="Times New Roman"/>
          <w:sz w:val="24"/>
          <w:szCs w:val="24"/>
        </w:rPr>
        <w:t>,</w:t>
      </w:r>
      <w:r w:rsidRPr="0029524E">
        <w:rPr>
          <w:rFonts w:ascii="Book Antiqua" w:eastAsia="Times New Roman" w:hAnsi="Book Antiqua" w:cs="Times New Roman"/>
          <w:sz w:val="24"/>
          <w:szCs w:val="24"/>
        </w:rPr>
        <w:t xml:space="preserve"> a</w:t>
      </w:r>
      <w:r w:rsidR="004F4E76">
        <w:rPr>
          <w:rFonts w:ascii="Book Antiqua" w:eastAsia="Times New Roman" w:hAnsi="Book Antiqua" w:cs="Times New Roman"/>
          <w:sz w:val="24"/>
          <w:szCs w:val="24"/>
        </w:rPr>
        <w:t xml:space="preserve">nd the lessons to be learned after </w:t>
      </w:r>
      <w:r w:rsidRPr="0029524E">
        <w:rPr>
          <w:rFonts w:ascii="Book Antiqua" w:eastAsia="Times New Roman" w:hAnsi="Book Antiqua" w:cs="Times New Roman"/>
          <w:sz w:val="24"/>
          <w:szCs w:val="24"/>
        </w:rPr>
        <w:t>the United Nations Operations in Côte d’Ivoire</w:t>
      </w:r>
      <w:r w:rsidR="003C479F">
        <w:rPr>
          <w:rFonts w:ascii="Book Antiqua" w:eastAsia="Times New Roman" w:hAnsi="Book Antiqua" w:cs="Times New Roman"/>
          <w:sz w:val="24"/>
          <w:szCs w:val="24"/>
        </w:rPr>
        <w:t>’s decade of presence</w:t>
      </w:r>
      <w:r w:rsidRPr="0029524E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sectPr w:rsidR="0029524E" w:rsidRPr="0029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0"/>
    <w:rsid w:val="000E761C"/>
    <w:rsid w:val="00135700"/>
    <w:rsid w:val="00135865"/>
    <w:rsid w:val="001775FF"/>
    <w:rsid w:val="002408C4"/>
    <w:rsid w:val="00251458"/>
    <w:rsid w:val="0029524E"/>
    <w:rsid w:val="003605B7"/>
    <w:rsid w:val="003C479F"/>
    <w:rsid w:val="003D5134"/>
    <w:rsid w:val="004025C3"/>
    <w:rsid w:val="004165E2"/>
    <w:rsid w:val="004367EE"/>
    <w:rsid w:val="004E1657"/>
    <w:rsid w:val="004F4E76"/>
    <w:rsid w:val="005044FE"/>
    <w:rsid w:val="005B2AD8"/>
    <w:rsid w:val="005D3C6B"/>
    <w:rsid w:val="005D74F2"/>
    <w:rsid w:val="00647E18"/>
    <w:rsid w:val="006F10B7"/>
    <w:rsid w:val="006F591E"/>
    <w:rsid w:val="007715CC"/>
    <w:rsid w:val="007A7ED4"/>
    <w:rsid w:val="008D27A1"/>
    <w:rsid w:val="009E209D"/>
    <w:rsid w:val="00A02657"/>
    <w:rsid w:val="00A060E7"/>
    <w:rsid w:val="00A25AD9"/>
    <w:rsid w:val="00AA6250"/>
    <w:rsid w:val="00AC49ED"/>
    <w:rsid w:val="00B53C15"/>
    <w:rsid w:val="00C15498"/>
    <w:rsid w:val="00C44A8B"/>
    <w:rsid w:val="00CE6168"/>
    <w:rsid w:val="00D55BB1"/>
    <w:rsid w:val="00E452CD"/>
    <w:rsid w:val="00EE06DF"/>
    <w:rsid w:val="00F40DD8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2C317-DE3F-4CE1-9990-528D9E5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7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A6250"/>
    <w:rPr>
      <w:b/>
      <w:bCs/>
    </w:rPr>
  </w:style>
  <w:style w:type="character" w:styleId="Hyperlink">
    <w:name w:val="Hyperlink"/>
    <w:basedOn w:val="DefaultParagraphFont"/>
    <w:uiPriority w:val="99"/>
    <w:unhideWhenUsed/>
    <w:rsid w:val="00436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inst.us6.list-manage.com/track/click?u=dd3dd71465ae4b31be756537e&amp;id=fbe9741b19&amp;e=d70e9432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6.campaign-archive2.com/?u=dd3dd71465ae4b31be756537e&amp;id=0e774cdc7c&amp;e=d70e9432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us6.campaign-archive2.com/?u=dd3dd71465ae4b31be756537e&amp;id=0e774cdc7c&amp;e=d70e9432da" TargetMode="External"/><Relationship Id="rId9" Type="http://schemas.openxmlformats.org/officeDocument/2006/relationships/image" Target="https://gallery.mailchimp.com/dd3dd71465ae4b31be756537e/images/bb8c7d45-8535-4502-ae74-1b8875027c8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Aïssata Athie</dc:creator>
  <cp:keywords/>
  <dc:description/>
  <cp:lastModifiedBy>User</cp:lastModifiedBy>
  <cp:revision>2</cp:revision>
  <dcterms:created xsi:type="dcterms:W3CDTF">2017-04-05T15:56:00Z</dcterms:created>
  <dcterms:modified xsi:type="dcterms:W3CDTF">2017-04-05T15:56:00Z</dcterms:modified>
</cp:coreProperties>
</file>