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80" w:rsidRDefault="000C0E46">
      <w:pPr>
        <w:pStyle w:val="CuerpoA"/>
        <w:spacing w:after="0" w:line="640" w:lineRule="exact"/>
        <w:jc w:val="both"/>
        <w:rPr>
          <w:b/>
          <w:bCs/>
          <w:sz w:val="76"/>
          <w:szCs w:val="76"/>
        </w:rPr>
      </w:pPr>
      <w:bookmarkStart w:id="0" w:name="_GoBack"/>
      <w:bookmarkEnd w:id="0"/>
      <w:r>
        <w:rPr>
          <w:rFonts w:ascii="Times New Roman" w:eastAsia="Times New Roman" w:hAnsi="Times New Roman" w:cs="Times New Roman"/>
          <w:b/>
          <w:bCs/>
          <w:noProof/>
          <w:sz w:val="76"/>
          <w:szCs w:val="76"/>
          <w:lang w:val="en-US"/>
        </w:rPr>
        <w:drawing>
          <wp:anchor distT="0" distB="0" distL="0" distR="0" simplePos="0" relativeHeight="251659264" behindDoc="0" locked="0" layoutInCell="1" allowOverlap="1">
            <wp:simplePos x="0" y="0"/>
            <wp:positionH relativeFrom="column">
              <wp:posOffset>2197735</wp:posOffset>
            </wp:positionH>
            <wp:positionV relativeFrom="line">
              <wp:posOffset>-294004</wp:posOffset>
            </wp:positionV>
            <wp:extent cx="712470" cy="723266"/>
            <wp:effectExtent l="0" t="0" r="0" b="0"/>
            <wp:wrapNone/>
            <wp:docPr id="1073741828" name="officeArt object" descr="escudo"/>
            <wp:cNvGraphicFramePr/>
            <a:graphic xmlns:a="http://schemas.openxmlformats.org/drawingml/2006/main">
              <a:graphicData uri="http://schemas.openxmlformats.org/drawingml/2006/picture">
                <pic:pic xmlns:pic="http://schemas.openxmlformats.org/drawingml/2006/picture">
                  <pic:nvPicPr>
                    <pic:cNvPr id="1073741828" name="image1.jpeg" descr="escudo"/>
                    <pic:cNvPicPr>
                      <a:picLocks noChangeAspect="1"/>
                    </pic:cNvPicPr>
                  </pic:nvPicPr>
                  <pic:blipFill>
                    <a:blip r:embed="rId6">
                      <a:extLst/>
                    </a:blip>
                    <a:stretch>
                      <a:fillRect/>
                    </a:stretch>
                  </pic:blipFill>
                  <pic:spPr>
                    <a:xfrm>
                      <a:off x="0" y="0"/>
                      <a:ext cx="712470" cy="723266"/>
                    </a:xfrm>
                    <a:prstGeom prst="rect">
                      <a:avLst/>
                    </a:prstGeom>
                    <a:ln w="12700" cap="flat">
                      <a:noFill/>
                      <a:miter lim="400000"/>
                    </a:ln>
                    <a:effectLst/>
                  </pic:spPr>
                </pic:pic>
              </a:graphicData>
            </a:graphic>
          </wp:anchor>
        </w:drawing>
      </w:r>
      <w:r>
        <w:rPr>
          <w:b/>
          <w:bCs/>
          <w:sz w:val="76"/>
          <w:szCs w:val="76"/>
        </w:rPr>
        <w:t>Costa Rica</w:t>
      </w:r>
    </w:p>
    <w:p w:rsidR="00521280" w:rsidRDefault="000C0E46">
      <w:pPr>
        <w:pStyle w:val="CuerpoA"/>
        <w:spacing w:before="120" w:after="0" w:line="240" w:lineRule="exact"/>
        <w:jc w:val="both"/>
        <w:rPr>
          <w:b/>
          <w:bCs/>
          <w:color w:val="948A54"/>
          <w:u w:color="948A54"/>
        </w:rPr>
      </w:pPr>
      <w:r>
        <w:rPr>
          <w:b/>
          <w:bCs/>
        </w:rPr>
        <w:t>MISIÓN PERMANENTE ANTE LAS NACIONES UNIDAS</w:t>
      </w:r>
      <w:r>
        <w:t xml:space="preserve"> / </w:t>
      </w:r>
      <w:r>
        <w:rPr>
          <w:b/>
          <w:bCs/>
          <w:color w:val="948A54"/>
          <w:u w:color="948A54"/>
        </w:rPr>
        <w:t>PERMANENT MISSION TO THE UNITED NATIONS</w:t>
      </w:r>
    </w:p>
    <w:p w:rsidR="00521280" w:rsidRDefault="000C0E46">
      <w:pPr>
        <w:pStyle w:val="CuerpoA"/>
        <w:spacing w:after="0" w:line="240" w:lineRule="exact"/>
        <w:jc w:val="both"/>
        <w:rPr>
          <w:b/>
          <w:bCs/>
          <w:color w:val="948A54"/>
          <w:u w:color="948A54"/>
        </w:rPr>
      </w:pPr>
      <w:r>
        <w:rPr>
          <w:b/>
          <w:bCs/>
          <w:color w:val="948A54"/>
          <w:u w:color="948A54"/>
        </w:rPr>
        <w:t>___________________________________________________________________________________</w:t>
      </w:r>
    </w:p>
    <w:p w:rsidR="00521280" w:rsidRDefault="00521280">
      <w:pPr>
        <w:pStyle w:val="CuerpoA"/>
        <w:spacing w:after="0"/>
        <w:rPr>
          <w:b/>
          <w:bCs/>
          <w:sz w:val="24"/>
          <w:szCs w:val="24"/>
        </w:rPr>
      </w:pPr>
    </w:p>
    <w:p w:rsidR="00521280" w:rsidRDefault="000C0E46">
      <w:pPr>
        <w:pStyle w:val="CuerpoA"/>
        <w:spacing w:after="0"/>
        <w:ind w:firstLine="360"/>
        <w:rPr>
          <w:sz w:val="24"/>
          <w:szCs w:val="24"/>
        </w:rPr>
      </w:pPr>
      <w:r>
        <w:rPr>
          <w:sz w:val="24"/>
          <w:szCs w:val="24"/>
        </w:rPr>
        <w:t xml:space="preserve">Intervención en el  Debate Abierto del Consejo de Seguridad </w:t>
      </w:r>
    </w:p>
    <w:p w:rsidR="00521280" w:rsidRDefault="00521280">
      <w:pPr>
        <w:pStyle w:val="CuerpoA"/>
        <w:spacing w:after="0"/>
        <w:ind w:firstLine="360"/>
        <w:rPr>
          <w:sz w:val="24"/>
          <w:szCs w:val="24"/>
        </w:rPr>
      </w:pPr>
    </w:p>
    <w:p w:rsidR="00521280" w:rsidRDefault="000C0E46">
      <w:pPr>
        <w:pStyle w:val="CuerpoA"/>
        <w:spacing w:after="60"/>
        <w:ind w:left="360"/>
        <w:rPr>
          <w:b/>
          <w:bCs/>
          <w:sz w:val="28"/>
          <w:szCs w:val="28"/>
        </w:rPr>
      </w:pPr>
      <w:r>
        <w:rPr>
          <w:b/>
          <w:bCs/>
          <w:sz w:val="28"/>
          <w:szCs w:val="28"/>
        </w:rPr>
        <w:t xml:space="preserve">Medio </w:t>
      </w:r>
      <w:r>
        <w:rPr>
          <w:b/>
          <w:bCs/>
          <w:sz w:val="28"/>
          <w:szCs w:val="28"/>
        </w:rPr>
        <w:t>Oriente, incluida la cuestión Palestina</w:t>
      </w:r>
    </w:p>
    <w:p w:rsidR="00521280" w:rsidRDefault="00521280">
      <w:pPr>
        <w:pStyle w:val="CuerpoA"/>
        <w:spacing w:after="60"/>
        <w:ind w:left="360"/>
        <w:rPr>
          <w:b/>
          <w:bCs/>
          <w:sz w:val="28"/>
          <w:szCs w:val="28"/>
        </w:rPr>
      </w:pPr>
    </w:p>
    <w:p w:rsidR="00521280" w:rsidRDefault="000C0E46">
      <w:pPr>
        <w:pStyle w:val="CuerpoA"/>
        <w:spacing w:after="60"/>
        <w:ind w:left="360"/>
        <w:rPr>
          <w:i/>
          <w:iCs/>
        </w:rPr>
      </w:pPr>
      <w:r>
        <w:rPr>
          <w:i/>
          <w:iCs/>
        </w:rPr>
        <w:t xml:space="preserve">Embajador Juan Carlos Mendoza García, Representante Permanente </w:t>
      </w:r>
    </w:p>
    <w:p w:rsidR="00521280" w:rsidRDefault="000C0E46">
      <w:pPr>
        <w:pStyle w:val="CuerpoA"/>
        <w:spacing w:after="240"/>
        <w:ind w:left="360"/>
        <w:rPr>
          <w:sz w:val="20"/>
          <w:szCs w:val="20"/>
          <w:u w:val="single"/>
        </w:rPr>
      </w:pPr>
      <w:r>
        <w:rPr>
          <w:sz w:val="20"/>
          <w:szCs w:val="20"/>
          <w:u w:val="single"/>
        </w:rPr>
        <w:t>71º período de sesiones de la Asamblea General. Nueva York, 17 de enero 2017</w:t>
      </w:r>
    </w:p>
    <w:p w:rsidR="00521280" w:rsidRDefault="00521280">
      <w:pPr>
        <w:pStyle w:val="CuerpoA"/>
        <w:tabs>
          <w:tab w:val="left" w:pos="8860"/>
        </w:tabs>
        <w:spacing w:before="240" w:after="0"/>
        <w:jc w:val="right"/>
        <w:rPr>
          <w:u w:val="single"/>
        </w:rPr>
      </w:pPr>
    </w:p>
    <w:p w:rsidR="00521280" w:rsidRDefault="000C0E46">
      <w:pPr>
        <w:pStyle w:val="CuerpoA"/>
        <w:tabs>
          <w:tab w:val="left" w:pos="8860"/>
        </w:tabs>
        <w:spacing w:before="240" w:after="0"/>
        <w:jc w:val="right"/>
        <w:rPr>
          <w:u w:val="single"/>
        </w:rPr>
      </w:pPr>
      <w:r>
        <w:rPr>
          <w:noProof/>
          <w:sz w:val="20"/>
          <w:szCs w:val="20"/>
          <w:lang w:val="en-US"/>
        </w:rPr>
        <mc:AlternateContent>
          <mc:Choice Requires="wps">
            <w:drawing>
              <wp:anchor distT="0" distB="0" distL="0" distR="0" simplePos="0" relativeHeight="251660288" behindDoc="0" locked="0" layoutInCell="1" allowOverlap="1">
                <wp:simplePos x="0" y="0"/>
                <wp:positionH relativeFrom="column">
                  <wp:posOffset>9524</wp:posOffset>
                </wp:positionH>
                <wp:positionV relativeFrom="line">
                  <wp:posOffset>-15873</wp:posOffset>
                </wp:positionV>
                <wp:extent cx="5979163" cy="4"/>
                <wp:effectExtent l="0" t="0" r="0" b="0"/>
                <wp:wrapNone/>
                <wp:docPr id="1073741829" name="officeArt object"/>
                <wp:cNvGraphicFramePr/>
                <a:graphic xmlns:a="http://schemas.openxmlformats.org/drawingml/2006/main">
                  <a:graphicData uri="http://schemas.microsoft.com/office/word/2010/wordprocessingShape">
                    <wps:wsp>
                      <wps:cNvCnPr/>
                      <wps:spPr>
                        <a:xfrm flipH="1" flipV="1">
                          <a:off x="0" y="0"/>
                          <a:ext cx="5979163" cy="4"/>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0.7pt;margin-top:-1.2pt;width:470.8pt;height:0.0pt;z-index:25166028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sz w:val="20"/>
          <w:szCs w:val="20"/>
          <w:lang w:val="en-US"/>
        </w:rPr>
        <mc:AlternateContent>
          <mc:Choice Requires="wps">
            <w:drawing>
              <wp:anchor distT="0" distB="0" distL="0" distR="0" simplePos="0" relativeHeight="251661312" behindDoc="0" locked="0" layoutInCell="1" allowOverlap="1">
                <wp:simplePos x="0" y="0"/>
                <wp:positionH relativeFrom="column">
                  <wp:posOffset>4478154</wp:posOffset>
                </wp:positionH>
                <wp:positionV relativeFrom="line">
                  <wp:posOffset>-14467</wp:posOffset>
                </wp:positionV>
                <wp:extent cx="12700" cy="1270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2700" cy="1270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352.6pt;margin-top:-1.1pt;width:1.0pt;height:1.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u w:val="single"/>
        </w:rPr>
        <w:t xml:space="preserve">Cotejar con la alocución – </w:t>
      </w:r>
      <w:proofErr w:type="spellStart"/>
      <w:r>
        <w:rPr>
          <w:u w:val="single"/>
        </w:rPr>
        <w:t>Check</w:t>
      </w:r>
      <w:proofErr w:type="spellEnd"/>
      <w:r>
        <w:rPr>
          <w:u w:val="single"/>
        </w:rPr>
        <w:t xml:space="preserve"> </w:t>
      </w:r>
      <w:proofErr w:type="spellStart"/>
      <w:r>
        <w:rPr>
          <w:u w:val="single"/>
        </w:rPr>
        <w:t>against</w:t>
      </w:r>
      <w:proofErr w:type="spellEnd"/>
      <w:r>
        <w:rPr>
          <w:u w:val="single"/>
        </w:rPr>
        <w:t xml:space="preserve"> </w:t>
      </w:r>
      <w:proofErr w:type="spellStart"/>
      <w:r>
        <w:rPr>
          <w:u w:val="single"/>
        </w:rPr>
        <w:t>delivery</w:t>
      </w:r>
      <w:proofErr w:type="spellEnd"/>
    </w:p>
    <w:p w:rsidR="00521280" w:rsidRDefault="00521280">
      <w:pPr>
        <w:pStyle w:val="CuerpoA"/>
        <w:tabs>
          <w:tab w:val="left" w:pos="8860"/>
        </w:tabs>
        <w:rPr>
          <w:sz w:val="20"/>
          <w:szCs w:val="20"/>
        </w:rPr>
      </w:pPr>
    </w:p>
    <w:p w:rsidR="00521280" w:rsidRDefault="000C0E46">
      <w:pPr>
        <w:pStyle w:val="CuerpoA"/>
        <w:spacing w:after="0"/>
        <w:rPr>
          <w:rFonts w:ascii="Calibri Light" w:eastAsia="Calibri Light" w:hAnsi="Calibri Light" w:cs="Calibri Light"/>
          <w:sz w:val="24"/>
          <w:szCs w:val="24"/>
        </w:rPr>
      </w:pPr>
      <w:r>
        <w:rPr>
          <w:rFonts w:ascii="Calibri Light" w:eastAsia="Calibri Light" w:hAnsi="Calibri Light" w:cs="Calibri Light"/>
          <w:sz w:val="24"/>
          <w:szCs w:val="24"/>
        </w:rPr>
        <w:t>Señor Presidente,</w:t>
      </w:r>
    </w:p>
    <w:p w:rsidR="00521280" w:rsidRDefault="00521280">
      <w:pPr>
        <w:pStyle w:val="CuerpoA"/>
        <w:spacing w:after="0"/>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Permítame felicitarlo a usted y a la Misión de Suecia por el trabajo que están realizando durante este mes de enero al mando del Consejo de Seguridad. Agradecemos también las presentaciones de los informes realizadas. </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Centraré mis reflexiones en dos conf</w:t>
      </w:r>
      <w:r>
        <w:rPr>
          <w:rFonts w:ascii="Calibri Light" w:eastAsia="Calibri Light" w:hAnsi="Calibri Light" w:cs="Calibri Light"/>
          <w:sz w:val="24"/>
          <w:szCs w:val="24"/>
        </w:rPr>
        <w:t xml:space="preserve">lictos de la zona,  el conflicto palestino-israelí, y  la situación en Siria y reiteramos nuestra posición que se requiere una solución diplomática en ambos casos.  </w:t>
      </w:r>
    </w:p>
    <w:p w:rsidR="00521280" w:rsidRDefault="00521280">
      <w:pPr>
        <w:pStyle w:val="CuerpoA"/>
        <w:spacing w:after="0"/>
        <w:jc w:val="both"/>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Señor Presidente,</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shd w:val="clear" w:color="auto" w:fill="FFFFFF"/>
        </w:rPr>
      </w:pPr>
      <w:r>
        <w:rPr>
          <w:rFonts w:ascii="Calibri Light" w:eastAsia="Calibri Light" w:hAnsi="Calibri Light" w:cs="Calibri Light"/>
          <w:sz w:val="24"/>
          <w:szCs w:val="24"/>
        </w:rPr>
        <w:t xml:space="preserve">En el caso del conflicto palestino-israelí, mi país reitera la </w:t>
      </w:r>
      <w:r>
        <w:rPr>
          <w:rFonts w:ascii="Calibri Light" w:eastAsia="Calibri Light" w:hAnsi="Calibri Light" w:cs="Calibri Light"/>
          <w:sz w:val="24"/>
          <w:szCs w:val="24"/>
        </w:rPr>
        <w:t>urgencia para que se retomen las negociaciones entre palestinos e israelíes,  sobre los temas medulares del conflicto que aún subsisten, basadas en las obligaciones ya adquiridas y en los acuerdos previamente pactados entre las partes, respaldadas por el D</w:t>
      </w:r>
      <w:r>
        <w:rPr>
          <w:rFonts w:ascii="Calibri Light" w:eastAsia="Calibri Light" w:hAnsi="Calibri Light" w:cs="Calibri Light"/>
          <w:sz w:val="24"/>
          <w:szCs w:val="24"/>
        </w:rPr>
        <w:t>erecho Internacional y por las decisiones tanto del Consejo Seguridad como de la Asamblea General.</w:t>
      </w:r>
      <w:r>
        <w:rPr>
          <w:rFonts w:ascii="Calibri Light" w:eastAsia="Calibri Light" w:hAnsi="Calibri Light" w:cs="Calibri Light"/>
          <w:sz w:val="24"/>
          <w:szCs w:val="24"/>
          <w:shd w:val="clear" w:color="auto" w:fill="FFFFFF"/>
        </w:rPr>
        <w:t xml:space="preserve">  </w:t>
      </w:r>
    </w:p>
    <w:p w:rsidR="00521280" w:rsidRDefault="00521280">
      <w:pPr>
        <w:pStyle w:val="CuerpoA"/>
        <w:spacing w:after="0"/>
        <w:jc w:val="both"/>
        <w:rPr>
          <w:rFonts w:ascii="Calibri Light" w:eastAsia="Calibri Light" w:hAnsi="Calibri Light" w:cs="Calibri Light"/>
          <w:sz w:val="24"/>
          <w:szCs w:val="24"/>
          <w:shd w:val="clear" w:color="auto" w:fill="FFFFFF"/>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Es imperante una solución política a este conflicto y crear cuanto antes, una nueva arquitectura de paz para resolver las diferencias, una paz sostenible </w:t>
      </w:r>
      <w:r>
        <w:rPr>
          <w:rFonts w:ascii="Calibri Light" w:eastAsia="Calibri Light" w:hAnsi="Calibri Light" w:cs="Calibri Light"/>
          <w:sz w:val="24"/>
          <w:szCs w:val="24"/>
        </w:rPr>
        <w:t xml:space="preserve">con el propósito de establecer las bases de una negociación directa, que conduzca a lo que es un objetivo aceptado por la comunidad internacional: la convivencia armónica entre un Estado palestino viable independiente y el Estado </w:t>
      </w:r>
      <w:r>
        <w:rPr>
          <w:rFonts w:ascii="Calibri Light" w:eastAsia="Calibri Light" w:hAnsi="Calibri Light" w:cs="Calibri Light"/>
          <w:sz w:val="24"/>
          <w:szCs w:val="24"/>
        </w:rPr>
        <w:lastRenderedPageBreak/>
        <w:t>de Israel.  Costa Rica sig</w:t>
      </w:r>
      <w:r>
        <w:rPr>
          <w:rFonts w:ascii="Calibri Light" w:eastAsia="Calibri Light" w:hAnsi="Calibri Light" w:cs="Calibri Light"/>
          <w:sz w:val="24"/>
          <w:szCs w:val="24"/>
        </w:rPr>
        <w:t>ue convencida que la solución de dos Estados es el único camino viable para que ambos Estados y sus pueblos vivan el uno junto al otro en paz y con seguridad.</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Por ello acogemos con beneplácito la resolución 2334 adoptada por este Consejo de Seguridad el p</w:t>
      </w:r>
      <w:r>
        <w:rPr>
          <w:rFonts w:ascii="Calibri Light" w:eastAsia="Calibri Light" w:hAnsi="Calibri Light" w:cs="Calibri Light"/>
          <w:sz w:val="24"/>
          <w:szCs w:val="24"/>
        </w:rPr>
        <w:t>asado 23 de diciembre en la que  reiteró un consenso de la comunidad internacional  en el sentido de que los asentamientos no tienen validez jurídica y exhorta a todas las partes a realizar esfuerzos colectivos para iniciar negociaciones creíbles sobre tod</w:t>
      </w:r>
      <w:r>
        <w:rPr>
          <w:rFonts w:ascii="Calibri Light" w:eastAsia="Calibri Light" w:hAnsi="Calibri Light" w:cs="Calibri Light"/>
          <w:sz w:val="24"/>
          <w:szCs w:val="24"/>
        </w:rPr>
        <w:t xml:space="preserve">as las cuestiones relativas al </w:t>
      </w:r>
      <w:proofErr w:type="gramStart"/>
      <w:r>
        <w:rPr>
          <w:rFonts w:ascii="Calibri Light" w:eastAsia="Calibri Light" w:hAnsi="Calibri Light" w:cs="Calibri Light"/>
          <w:sz w:val="24"/>
          <w:szCs w:val="24"/>
        </w:rPr>
        <w:t>estatuto</w:t>
      </w:r>
      <w:proofErr w:type="gramEnd"/>
      <w:r>
        <w:rPr>
          <w:rFonts w:ascii="Calibri Light" w:eastAsia="Calibri Light" w:hAnsi="Calibri Light" w:cs="Calibri Light"/>
          <w:sz w:val="24"/>
          <w:szCs w:val="24"/>
        </w:rPr>
        <w:t xml:space="preserve"> definitivo en el proceso de paz. Reiteramos nuestro apoyo al uso del Derecho Internacional como herramienta para la solución pacífica de controversias y a la institucionalidad del Consejo de Seguridad y a la Asamblea</w:t>
      </w:r>
      <w:r>
        <w:rPr>
          <w:rFonts w:ascii="Calibri Light" w:eastAsia="Calibri Light" w:hAnsi="Calibri Light" w:cs="Calibri Light"/>
          <w:sz w:val="24"/>
          <w:szCs w:val="24"/>
        </w:rPr>
        <w:t xml:space="preserve"> General, como órganos creados para preservar la paz y seguridad internacionales e instamos a respetar las disposiciones de la presente resolución de obligatorio acatamiento por parte de todos los Estados Miembros de esta Organización.   </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Señor Presidente</w:t>
      </w:r>
      <w:r>
        <w:rPr>
          <w:rFonts w:ascii="Calibri Light" w:eastAsia="Calibri Light" w:hAnsi="Calibri Light" w:cs="Calibri Light"/>
          <w:sz w:val="24"/>
          <w:szCs w:val="24"/>
        </w:rPr>
        <w:t>,</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Con referencia al conflicto en Siria, celebramos la adopción por parte de la Asamblea General de la resolución</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71/130 del 9 de diciembre y la 71/248 del 21 de diciembre, pasados.  Reiteramos nuestra posición, considerando la gravedad y escala de los crí</w:t>
      </w:r>
      <w:r>
        <w:rPr>
          <w:rFonts w:ascii="Calibri Light" w:eastAsia="Calibri Light" w:hAnsi="Calibri Light" w:cs="Calibri Light"/>
          <w:sz w:val="24"/>
          <w:szCs w:val="24"/>
        </w:rPr>
        <w:t>menes que podrían estarse cometiendo y el nivel de destrucción en Siria, que se hace imprescindible contar con el mecanismo de rendición de cuentas para recuperar, resguardar y consolidar la evidencia que en el futuro permita que los mayores responsables d</w:t>
      </w:r>
      <w:r>
        <w:rPr>
          <w:rFonts w:ascii="Calibri Light" w:eastAsia="Calibri Light" w:hAnsi="Calibri Light" w:cs="Calibri Light"/>
          <w:sz w:val="24"/>
          <w:szCs w:val="24"/>
        </w:rPr>
        <w:t>e dichos crímenes respondan ante la justicia.   Comprendemos que dentro de la terrible dinámica del conflicto sirio, algunos de los procesos judiciales habrán de iniciar en el futuro. Es precisamente por esto que es urgente recopilar y presentar la mayor c</w:t>
      </w:r>
      <w:r>
        <w:rPr>
          <w:rFonts w:ascii="Calibri Light" w:eastAsia="Calibri Light" w:hAnsi="Calibri Light" w:cs="Calibri Light"/>
          <w:sz w:val="24"/>
          <w:szCs w:val="24"/>
        </w:rPr>
        <w:t>antidad de evidencia posible.  Y además resaltamos la importancia de que dicho mecanismo debería ser financiado mediante el presupuesto regular de las Naciones Unidas.</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La comunidad internacional esperó por mucho tiempo acuerdos del Consejo de Seguridad so</w:t>
      </w:r>
      <w:r>
        <w:rPr>
          <w:rFonts w:ascii="Calibri Light" w:eastAsia="Calibri Light" w:hAnsi="Calibri Light" w:cs="Calibri Light"/>
          <w:sz w:val="24"/>
          <w:szCs w:val="24"/>
        </w:rPr>
        <w:t xml:space="preserve">bre </w:t>
      </w:r>
      <w:proofErr w:type="gramStart"/>
      <w:r>
        <w:rPr>
          <w:rFonts w:ascii="Calibri Light" w:eastAsia="Calibri Light" w:hAnsi="Calibri Light" w:cs="Calibri Light"/>
          <w:sz w:val="24"/>
          <w:szCs w:val="24"/>
        </w:rPr>
        <w:t>la</w:t>
      </w:r>
      <w:proofErr w:type="gramEnd"/>
      <w:r>
        <w:rPr>
          <w:rFonts w:ascii="Calibri Light" w:eastAsia="Calibri Light" w:hAnsi="Calibri Light" w:cs="Calibri Light"/>
          <w:sz w:val="24"/>
          <w:szCs w:val="24"/>
        </w:rPr>
        <w:t xml:space="preserve"> situación en Siria y por eso celebramos que al finalizar el año pasado se adoptaran  las resoluciones  2328 del 19 de diciembre y la 2336 del 31 de diciembre, adoptadas de manera unánime, lo que significa un avance significativo en la actuación de e</w:t>
      </w:r>
      <w:r>
        <w:rPr>
          <w:rFonts w:ascii="Calibri Light" w:eastAsia="Calibri Light" w:hAnsi="Calibri Light" w:cs="Calibri Light"/>
          <w:sz w:val="24"/>
          <w:szCs w:val="24"/>
        </w:rPr>
        <w:t>ste Consejo y constituye un importante primer paso para la solución duradera del conflicto.</w:t>
      </w:r>
    </w:p>
    <w:p w:rsidR="00521280" w:rsidRDefault="00521280">
      <w:pPr>
        <w:pStyle w:val="CuerpoA"/>
        <w:spacing w:after="0"/>
        <w:jc w:val="both"/>
        <w:rPr>
          <w:rFonts w:ascii="Calibri Light" w:eastAsia="Calibri Light" w:hAnsi="Calibri Light" w:cs="Calibri Light"/>
          <w:sz w:val="24"/>
          <w:szCs w:val="24"/>
        </w:rPr>
      </w:pP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Reiteramos nuestro convencimiento de que la única solución duradera a la crisis en la República Popular Siria será aquella alcanzada  por vías diplomáticas, y hac</w:t>
      </w:r>
      <w:r>
        <w:rPr>
          <w:rFonts w:ascii="Calibri Light" w:eastAsia="Calibri Light" w:hAnsi="Calibri Light" w:cs="Calibri Light"/>
          <w:sz w:val="24"/>
          <w:szCs w:val="24"/>
        </w:rPr>
        <w:t>emos un llamado a todos los Estados a acatar e implementar las resoluciones adoptadas por el Consejo de Seguridad y por la Asamblea General en relación con esta situación.</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lastRenderedPageBreak/>
        <w:t>Costa Rica insta a que los esfuerzos de la comunidad internacional no se detengan h</w:t>
      </w:r>
      <w:r>
        <w:rPr>
          <w:rFonts w:ascii="Calibri Light" w:eastAsia="Calibri Light" w:hAnsi="Calibri Light" w:cs="Calibri Light"/>
          <w:sz w:val="24"/>
          <w:szCs w:val="24"/>
        </w:rPr>
        <w:t>asta  lograr un alto al fuego definitivo mediante un acuerdo que incorpore a todas las partes involucradas. Asimismo desea recordar la potestad que tiene el Consejo de Seguridad, de remitir la situación en Siria a la Corte Penal Internacional, en caso de q</w:t>
      </w:r>
      <w:r>
        <w:rPr>
          <w:rFonts w:ascii="Calibri Light" w:eastAsia="Calibri Light" w:hAnsi="Calibri Light" w:cs="Calibri Light"/>
          <w:sz w:val="24"/>
          <w:szCs w:val="24"/>
        </w:rPr>
        <w:t xml:space="preserve">ue los Estados con jurisdicción primaria no la ejerzan, y ante la comisión de atrocidades masivas. </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Señor Presidente,</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Para concluir, Costa Rica reitera su preocupación por la creciente tensión entre poderes regionales, que vienen a elevar los tonos de lo</w:t>
      </w:r>
      <w:r>
        <w:rPr>
          <w:rFonts w:ascii="Calibri Light" w:eastAsia="Calibri Light" w:hAnsi="Calibri Light" w:cs="Calibri Light"/>
          <w:sz w:val="24"/>
          <w:szCs w:val="24"/>
        </w:rPr>
        <w:t>s enfrentamientos,  por lo que hace un fuerte llamado a la  paz en el Medio Oriente.</w:t>
      </w: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 </w:t>
      </w:r>
    </w:p>
    <w:p w:rsidR="00521280" w:rsidRDefault="000C0E46">
      <w:pPr>
        <w:pStyle w:val="CuerpoA"/>
        <w:spacing w:after="0"/>
        <w:jc w:val="both"/>
        <w:rPr>
          <w:rFonts w:ascii="Calibri Light" w:eastAsia="Calibri Light" w:hAnsi="Calibri Light" w:cs="Calibri Light"/>
          <w:sz w:val="24"/>
          <w:szCs w:val="24"/>
        </w:rPr>
      </w:pPr>
      <w:r>
        <w:rPr>
          <w:rFonts w:ascii="Calibri Light" w:eastAsia="Calibri Light" w:hAnsi="Calibri Light" w:cs="Calibri Light"/>
          <w:sz w:val="24"/>
          <w:szCs w:val="24"/>
        </w:rPr>
        <w:t>Como parte de esta Organización tenemos la responsabilidad jurídica, política y moral de prevenir y detener todo acto que conduzca a la muerte de inocentes, apoyar y for</w:t>
      </w:r>
      <w:r>
        <w:rPr>
          <w:rFonts w:ascii="Calibri Light" w:eastAsia="Calibri Light" w:hAnsi="Calibri Light" w:cs="Calibri Light"/>
          <w:sz w:val="24"/>
          <w:szCs w:val="24"/>
        </w:rPr>
        <w:t>talecer los mecanismo que permitan enjuiciar a los responsables y unir esfuerzos para detener la espiral de violencia y evitar el sufrimiento de más civiles, solo así podemos sentirnos satisfechos de haber cumplido con lo que establece la Carta de las Naci</w:t>
      </w:r>
      <w:r>
        <w:rPr>
          <w:rFonts w:ascii="Calibri Light" w:eastAsia="Calibri Light" w:hAnsi="Calibri Light" w:cs="Calibri Light"/>
          <w:sz w:val="24"/>
          <w:szCs w:val="24"/>
        </w:rPr>
        <w:t>ones Unidas.</w:t>
      </w:r>
    </w:p>
    <w:p w:rsidR="00521280" w:rsidRDefault="00521280">
      <w:pPr>
        <w:pStyle w:val="CuerpoA"/>
        <w:spacing w:after="0"/>
        <w:jc w:val="both"/>
        <w:rPr>
          <w:rFonts w:ascii="Calibri Light" w:eastAsia="Calibri Light" w:hAnsi="Calibri Light" w:cs="Calibri Light"/>
          <w:sz w:val="24"/>
          <w:szCs w:val="24"/>
        </w:rPr>
      </w:pPr>
    </w:p>
    <w:p w:rsidR="00521280" w:rsidRDefault="000C0E46">
      <w:pPr>
        <w:pStyle w:val="CuerpoA"/>
        <w:spacing w:before="120" w:after="120" w:line="360" w:lineRule="auto"/>
        <w:jc w:val="both"/>
      </w:pPr>
      <w:r>
        <w:rPr>
          <w:rFonts w:ascii="Calibri Light" w:eastAsia="Calibri Light" w:hAnsi="Calibri Light" w:cs="Calibri Light"/>
          <w:sz w:val="24"/>
          <w:szCs w:val="24"/>
        </w:rPr>
        <w:t>Muchas gracias.</w:t>
      </w:r>
    </w:p>
    <w:sectPr w:rsidR="00521280">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0E46">
      <w:r>
        <w:separator/>
      </w:r>
    </w:p>
  </w:endnote>
  <w:endnote w:type="continuationSeparator" w:id="0">
    <w:p w:rsidR="00000000" w:rsidRDefault="000C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80" w:rsidRDefault="0052128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0E46">
      <w:r>
        <w:separator/>
      </w:r>
    </w:p>
  </w:footnote>
  <w:footnote w:type="continuationSeparator" w:id="0">
    <w:p w:rsidR="00000000" w:rsidRDefault="000C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80" w:rsidRDefault="000C0E46">
    <w:pPr>
      <w:pStyle w:val="Cabeceraypie"/>
    </w:pPr>
    <w:r>
      <w:rPr>
        <w:noProof/>
      </w:rPr>
      <mc:AlternateContent>
        <mc:Choice Requires="wpg">
          <w:drawing>
            <wp:anchor distT="152400" distB="152400" distL="152400" distR="152400" simplePos="0" relativeHeight="251658240" behindDoc="1" locked="0" layoutInCell="1" allowOverlap="1">
              <wp:simplePos x="0" y="0"/>
              <wp:positionH relativeFrom="page">
                <wp:posOffset>1600200</wp:posOffset>
              </wp:positionH>
              <wp:positionV relativeFrom="page">
                <wp:posOffset>9173843</wp:posOffset>
              </wp:positionV>
              <wp:extent cx="6172203" cy="412753"/>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172203" cy="412753"/>
                        <a:chOff x="0" y="0"/>
                        <a:chExt cx="6172202" cy="412752"/>
                      </a:xfrm>
                    </wpg:grpSpPr>
                    <wps:wsp>
                      <wps:cNvPr id="1073741825" name="Shape 1073741825"/>
                      <wps:cNvSpPr/>
                      <wps:spPr>
                        <a:xfrm>
                          <a:off x="228600" y="-1"/>
                          <a:ext cx="5943602" cy="274322"/>
                        </a:xfrm>
                        <a:prstGeom prst="rect">
                          <a:avLst/>
                        </a:prstGeom>
                        <a:solidFill>
                          <a:srgbClr val="FFFFFF">
                            <a:alpha val="0"/>
                          </a:srgbClr>
                        </a:solidFill>
                        <a:ln w="12700" cap="flat">
                          <a:noFill/>
                          <a:miter lim="400000"/>
                        </a:ln>
                        <a:effectLst/>
                      </wps:spPr>
                      <wps:bodyPr/>
                    </wps:wsp>
                    <wps:wsp>
                      <wps:cNvPr id="1073741826" name="Shape 1073741826"/>
                      <wps:cNvSpPr/>
                      <wps:spPr>
                        <a:xfrm>
                          <a:off x="-1" y="9525"/>
                          <a:ext cx="5943602" cy="403227"/>
                        </a:xfrm>
                        <a:prstGeom prst="rect">
                          <a:avLst/>
                        </a:prstGeom>
                        <a:noFill/>
                        <a:ln w="12700" cap="flat">
                          <a:noFill/>
                          <a:miter lim="400000"/>
                        </a:ln>
                        <a:effectLst/>
                      </wps:spPr>
                      <wps:txbx>
                        <w:txbxContent>
                          <w:p w:rsidR="00521280" w:rsidRDefault="000C0E46">
                            <w:pPr>
                              <w:pStyle w:val="Footer"/>
                              <w:tabs>
                                <w:tab w:val="clear" w:pos="4680"/>
                                <w:tab w:val="clear" w:pos="9360"/>
                              </w:tabs>
                              <w:jc w:val="right"/>
                            </w:pPr>
                            <w:r>
                              <w:rPr>
                                <w:caps/>
                                <w:color w:val="4F81BD"/>
                                <w:sz w:val="20"/>
                                <w:szCs w:val="20"/>
                                <w:u w:color="4F81BD"/>
                              </w:rPr>
                              <w:t>001-2017</w:t>
                            </w:r>
                            <w:r>
                              <w:rPr>
                                <w:caps/>
                                <w:color w:val="808080"/>
                                <w:sz w:val="20"/>
                                <w:szCs w:val="20"/>
                                <w:u w:color="808080"/>
                              </w:rPr>
                              <w:t> |PCR </w:t>
                            </w:r>
                            <w:r>
                              <w:rPr>
                                <w:color w:val="808080"/>
                                <w:sz w:val="20"/>
                                <w:szCs w:val="20"/>
                                <w:u w:color="808080"/>
                              </w:rPr>
                              <w:t xml:space="preserve">     </w:t>
                            </w:r>
                          </w:p>
                        </w:txbxContent>
                      </wps:txbx>
                      <wps:bodyPr wrap="square" lIns="0" tIns="0" rIns="0" bIns="0" numCol="1" anchor="t">
                        <a:noAutofit/>
                      </wps:bodyPr>
                    </wps:wsp>
                  </wpg:wgp>
                </a:graphicData>
              </a:graphic>
            </wp:anchor>
          </w:drawing>
        </mc:Choice>
        <mc:Fallback>
          <w:pict>
            <v:group id="_x0000_s1028" style="visibility:visible;position:absolute;margin-left:126.0pt;margin-top:722.3pt;width:486.0pt;height:32.5pt;z-index:-251658240;mso-position-horizontal:absolute;mso-position-horizontal-relative:page;mso-position-vertical:absolute;mso-position-vertical-relative:page;mso-wrap-distance-left:12.0pt;mso-wrap-distance-top:12.0pt;mso-wrap-distance-right:12.0pt;mso-wrap-distance-bottom:12.0pt;" coordorigin="-1,-1" coordsize="6172202,412752">
              <w10:wrap type="none" side="bothSides" anchorx="page" anchory="page"/>
              <v:rect id="_x0000_s1029" style="position:absolute;left:228600;top:-1;width:5943601;height:274321;">
                <v:fill color="#FFFFFF" opacity="0.0%" type="solid"/>
                <v:stroke on="f" weight="1.0pt" dashstyle="solid" endcap="flat" miterlimit="400.0%" joinstyle="miter" linestyle="single" startarrow="none" startarrowwidth="medium" startarrowlength="medium" endarrow="none" endarrowwidth="medium" endarrowlength="medium"/>
              </v:rect>
              <v:rect id="_x0000_s1030" style="position:absolute;left:-1;top:9525;width:5943601;height:403226;">
                <v:fill on="f"/>
                <v:stroke on="f" weight="1.0pt" dashstyle="solid" endcap="flat" miterlimit="400.0%" joinstyle="miter" linestyle="single" startarrow="none" startarrowwidth="medium" startarrowlength="medium" endarrow="none" endarrowwidth="medium" endarrowlength="medium"/>
                <v:textbox>
                  <w:txbxContent>
                    <w:p>
                      <w:pPr>
                        <w:pStyle w:val="footer"/>
                        <w:tabs>
                          <w:tab w:val="clear" w:pos="4680"/>
                          <w:tab w:val="clear" w:pos="9360"/>
                        </w:tabs>
                        <w:jc w:val="right"/>
                      </w:pPr>
                      <w:r>
                        <w:rPr>
                          <w:caps w:val="1"/>
                          <w:color w:val="4f81bd"/>
                          <w:sz w:val="20"/>
                          <w:szCs w:val="20"/>
                          <w:u w:color="4f81bd"/>
                          <w:rtl w:val="0"/>
                          <w:lang w:val="en-US"/>
                        </w:rPr>
                        <w:t>001-2017</w:t>
                      </w:r>
                      <w:r>
                        <w:rPr>
                          <w:caps w:val="1"/>
                          <w:color w:val="808080"/>
                          <w:sz w:val="20"/>
                          <w:szCs w:val="20"/>
                          <w:u w:color="808080"/>
                          <w:rtl w:val="0"/>
                          <w:lang w:val="en-US"/>
                        </w:rPr>
                        <w:t> </w:t>
                      </w:r>
                      <w:r>
                        <w:rPr>
                          <w:caps w:val="1"/>
                          <w:color w:val="808080"/>
                          <w:sz w:val="20"/>
                          <w:szCs w:val="20"/>
                          <w:u w:color="808080"/>
                          <w:rtl w:val="0"/>
                          <w:lang w:val="en-US"/>
                        </w:rPr>
                        <w:t>|PCR</w:t>
                      </w:r>
                      <w:r>
                        <w:rPr>
                          <w:caps w:val="1"/>
                          <w:color w:val="808080"/>
                          <w:sz w:val="20"/>
                          <w:szCs w:val="20"/>
                          <w:u w:color="808080"/>
                          <w:rtl w:val="0"/>
                          <w:lang w:val="en-US"/>
                        </w:rPr>
                        <w:t> </w:t>
                      </w:r>
                      <w:r>
                        <w:rPr>
                          <w:color w:val="808080"/>
                          <w:sz w:val="20"/>
                          <w:szCs w:val="20"/>
                          <w:u w:color="808080"/>
                          <w:rtl w:val="0"/>
                          <w:lang w:val="en-US"/>
                        </w:rPr>
                        <w:t xml:space="preserve">     </w:t>
                      </w: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80"/>
    <w:rsid w:val="000C0E46"/>
    <w:rsid w:val="0052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75BAE-92D4-442C-82A9-AB3DC696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u w:color="000000"/>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Coto</dc:creator>
  <cp:lastModifiedBy>Paula Coto</cp:lastModifiedBy>
  <cp:revision>2</cp:revision>
  <dcterms:created xsi:type="dcterms:W3CDTF">2017-01-18T19:21:00Z</dcterms:created>
  <dcterms:modified xsi:type="dcterms:W3CDTF">2017-01-18T19:21:00Z</dcterms:modified>
</cp:coreProperties>
</file>